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center" w:tblpY="1"/>
        <w:tblOverlap w:val="never"/>
        <w:tblW w:w="10008" w:type="dxa"/>
        <w:jc w:val="center"/>
        <w:tblLook w:val="01E0"/>
      </w:tblPr>
      <w:tblGrid>
        <w:gridCol w:w="4248"/>
        <w:gridCol w:w="5760"/>
      </w:tblGrid>
      <w:tr w:rsidR="001E710D" w:rsidRPr="00B5154A" w:rsidTr="00E04735">
        <w:trPr>
          <w:trHeight w:hRule="exact" w:val="861"/>
          <w:jc w:val="center"/>
        </w:trPr>
        <w:tc>
          <w:tcPr>
            <w:tcW w:w="4248" w:type="dxa"/>
          </w:tcPr>
          <w:p w:rsidR="001E710D" w:rsidRPr="00B5154A" w:rsidRDefault="001E710D" w:rsidP="00E04735">
            <w:pPr>
              <w:spacing w:line="240" w:lineRule="atLeast"/>
              <w:jc w:val="center"/>
              <w:rPr>
                <w:b/>
                <w:sz w:val="26"/>
              </w:rPr>
            </w:pPr>
            <w:r w:rsidRPr="00B5154A">
              <w:rPr>
                <w:b/>
                <w:sz w:val="26"/>
              </w:rPr>
              <w:t>BỘ LAO ĐỘNG - THƯƠNG BINH VÀ XÃ HỘI</w:t>
            </w:r>
          </w:p>
          <w:p w:rsidR="001E710D" w:rsidRPr="00B5154A" w:rsidRDefault="001A5D0E" w:rsidP="00E04735">
            <w:pPr>
              <w:tabs>
                <w:tab w:val="left" w:pos="2955"/>
              </w:tabs>
              <w:spacing w:before="60" w:after="60"/>
              <w:jc w:val="center"/>
              <w:rPr>
                <w:b/>
                <w:bCs/>
                <w:sz w:val="26"/>
              </w:rPr>
            </w:pPr>
            <w:r w:rsidRPr="001A5D0E">
              <w:rPr>
                <w:noProof/>
              </w:rPr>
              <w:pict>
                <v:line id="Line 2" o:spid="_x0000_s1027" style="position:absolute;left:0;text-align:left;z-index:251661312;visibility:visible" from="76.95pt,2.05pt" to="125.95pt,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KHdxECAAAn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"/>
              </w:pict>
            </w:r>
          </w:p>
        </w:tc>
        <w:tc>
          <w:tcPr>
            <w:tcW w:w="5760" w:type="dxa"/>
          </w:tcPr>
          <w:p w:rsidR="001E710D" w:rsidRPr="00B5154A" w:rsidRDefault="001E710D" w:rsidP="00E04735">
            <w:pPr>
              <w:jc w:val="center"/>
              <w:rPr>
                <w:b/>
                <w:bCs/>
                <w:sz w:val="26"/>
              </w:rPr>
            </w:pPr>
            <w:r w:rsidRPr="00B5154A">
              <w:rPr>
                <w:b/>
                <w:bCs/>
                <w:sz w:val="26"/>
              </w:rPr>
              <w:t xml:space="preserve">CỘNG HOÀ XÃ HỘI CHỦ NGHĨA VIỆT </w:t>
            </w:r>
            <w:smartTag w:uri="urn:schemas-microsoft-com:office:smarttags" w:element="country-region">
              <w:smartTag w:uri="urn:schemas-microsoft-com:office:smarttags" w:element="place">
                <w:r w:rsidRPr="00B5154A">
                  <w:rPr>
                    <w:b/>
                    <w:bCs/>
                    <w:sz w:val="26"/>
                  </w:rPr>
                  <w:t>NAM</w:t>
                </w:r>
              </w:smartTag>
            </w:smartTag>
          </w:p>
          <w:p w:rsidR="001E710D" w:rsidRPr="00B5154A" w:rsidRDefault="001A5D0E" w:rsidP="00E04735">
            <w:pPr>
              <w:jc w:val="center"/>
              <w:rPr>
                <w:sz w:val="26"/>
              </w:rPr>
            </w:pPr>
            <w:r w:rsidRPr="001A5D0E">
              <w:rPr>
                <w:noProof/>
              </w:rPr>
              <w:pict>
                <v:line id="Line 3" o:spid="_x0000_s1028" style="position:absolute;left:0;text-align:left;z-index:251662336;visibility:visible" from="60.6pt,17.9pt" to="214.6pt,1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ClqRE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"/>
              </w:pict>
            </w:r>
            <w:r w:rsidR="001E710D" w:rsidRPr="00B5154A">
              <w:rPr>
                <w:b/>
                <w:bCs/>
                <w:sz w:val="26"/>
              </w:rPr>
              <w:t>Độc lập - Tự do - Hạnh phúc</w:t>
            </w:r>
          </w:p>
        </w:tc>
      </w:tr>
      <w:tr w:rsidR="001E710D" w:rsidRPr="00B5154A" w:rsidTr="00E04735">
        <w:trPr>
          <w:jc w:val="center"/>
        </w:trPr>
        <w:tc>
          <w:tcPr>
            <w:tcW w:w="4248" w:type="dxa"/>
          </w:tcPr>
          <w:p w:rsidR="001E710D" w:rsidRPr="00B5154A" w:rsidRDefault="001E710D" w:rsidP="00E04735">
            <w:pPr>
              <w:spacing w:before="120" w:after="60"/>
              <w:jc w:val="center"/>
            </w:pPr>
            <w:r>
              <w:t>Số:       /TTr-LĐTBXH</w:t>
            </w:r>
          </w:p>
        </w:tc>
        <w:tc>
          <w:tcPr>
            <w:tcW w:w="5760" w:type="dxa"/>
          </w:tcPr>
          <w:p w:rsidR="001E710D" w:rsidRPr="00B5154A" w:rsidRDefault="001E710D" w:rsidP="00E04735">
            <w:pPr>
              <w:spacing w:before="120" w:after="60"/>
              <w:jc w:val="center"/>
              <w:rPr>
                <w:i/>
                <w:iCs/>
              </w:rPr>
            </w:pPr>
            <w:r w:rsidRPr="00B5154A">
              <w:rPr>
                <w:i/>
                <w:iCs/>
              </w:rPr>
              <w:t xml:space="preserve">Hà Nội, ngày       tháng </w:t>
            </w:r>
            <w:r>
              <w:rPr>
                <w:i/>
                <w:iCs/>
              </w:rPr>
              <w:t xml:space="preserve">     </w:t>
            </w:r>
            <w:r w:rsidRPr="00B5154A">
              <w:rPr>
                <w:i/>
                <w:iCs/>
              </w:rPr>
              <w:t>năm 201</w:t>
            </w:r>
            <w:r>
              <w:rPr>
                <w:i/>
                <w:iCs/>
              </w:rPr>
              <w:t>7</w:t>
            </w:r>
          </w:p>
        </w:tc>
      </w:tr>
    </w:tbl>
    <w:p w:rsidR="001E710D" w:rsidRDefault="001E710D" w:rsidP="001E710D">
      <w:pPr>
        <w:rPr>
          <w:b/>
          <w:sz w:val="22"/>
        </w:rPr>
      </w:pPr>
    </w:p>
    <w:tbl>
      <w:tblPr>
        <w:tblStyle w:val="TableGrid"/>
        <w:tblW w:w="0" w:type="auto"/>
        <w:tblLook w:val="04A0"/>
      </w:tblPr>
      <w:tblGrid>
        <w:gridCol w:w="1526"/>
      </w:tblGrid>
      <w:tr w:rsidR="00402B08" w:rsidTr="00402B08">
        <w:tc>
          <w:tcPr>
            <w:tcW w:w="1526" w:type="dxa"/>
          </w:tcPr>
          <w:p w:rsidR="00402B08" w:rsidRDefault="00402B08" w:rsidP="001E710D">
            <w:pPr>
              <w:rPr>
                <w:b/>
                <w:sz w:val="22"/>
              </w:rPr>
            </w:pPr>
            <w:r>
              <w:rPr>
                <w:b/>
                <w:sz w:val="22"/>
              </w:rPr>
              <w:t>DỰ THẢO</w:t>
            </w:r>
          </w:p>
        </w:tc>
      </w:tr>
    </w:tbl>
    <w:p w:rsidR="00402B08" w:rsidRPr="00B5154A" w:rsidRDefault="00402B08" w:rsidP="001E710D">
      <w:pPr>
        <w:rPr>
          <w:b/>
          <w:sz w:val="22"/>
        </w:rPr>
      </w:pPr>
    </w:p>
    <w:p w:rsidR="001E710D" w:rsidRPr="00B5154A" w:rsidRDefault="001A5D0E" w:rsidP="001E710D">
      <w:pPr>
        <w:spacing w:after="120"/>
        <w:jc w:val="center"/>
        <w:rPr>
          <w:b/>
          <w:sz w:val="30"/>
        </w:rPr>
      </w:pPr>
      <w:r w:rsidRPr="001A5D0E">
        <w:rPr>
          <w:noProof/>
        </w:rPr>
        <w:pict>
          <v:shapetype id="_x0000_t202" coordsize="21600,21600" o:spt="202" path="m,l,21600r21600,l21600,xe">
            <v:stroke joinstyle="miter"/>
            <v:path gradientshapeok="t" o:connecttype="rect"/>
          </v:shapetype>
          <v:shape id="_x0000_s1029" type="#_x0000_t202" style="position:absolute;left:0;text-align:left;margin-left:-24.95pt;margin-top:5.75pt;width:105pt;height:38.1pt;z-index:251663360" filled="f" stroked="f">
            <v:textbox>
              <w:txbxContent>
                <w:p w:rsidR="001E710D" w:rsidRPr="001E710D" w:rsidRDefault="001E710D" w:rsidP="001E710D"/>
              </w:txbxContent>
            </v:textbox>
          </v:shape>
        </w:pict>
      </w:r>
      <w:r w:rsidR="001E710D" w:rsidRPr="00B5154A">
        <w:rPr>
          <w:b/>
          <w:sz w:val="30"/>
        </w:rPr>
        <w:t>TỜ TRÌNH</w:t>
      </w:r>
    </w:p>
    <w:p w:rsidR="001E710D" w:rsidRDefault="001E710D" w:rsidP="001E710D">
      <w:pPr>
        <w:jc w:val="center"/>
        <w:rPr>
          <w:b/>
        </w:rPr>
      </w:pPr>
      <w:r w:rsidRPr="00B5154A">
        <w:rPr>
          <w:b/>
        </w:rPr>
        <w:t xml:space="preserve">Nghị định </w:t>
      </w:r>
      <w:r>
        <w:rPr>
          <w:b/>
        </w:rPr>
        <w:t>sửa đổi Điều 12 Nghị định số 21/2016/NĐ-CP ngày 31 tháng 3 năm 2016 của Chính phủ quy định việc thực hiện chức năng thanh tra chuyên ngành về đóng bảo hiểm xã hội, bảo hiểm thất nghiệp</w:t>
      </w:r>
    </w:p>
    <w:p w:rsidR="001E710D" w:rsidRPr="00B5154A" w:rsidRDefault="001E710D" w:rsidP="001E710D">
      <w:pPr>
        <w:jc w:val="center"/>
        <w:rPr>
          <w:b/>
        </w:rPr>
      </w:pPr>
      <w:r>
        <w:rPr>
          <w:b/>
        </w:rPr>
        <w:t xml:space="preserve"> và bảo hiểm y tế của cơ quan Bảo hiểm xã hội</w:t>
      </w:r>
    </w:p>
    <w:p w:rsidR="001E710D" w:rsidRPr="00B5154A" w:rsidRDefault="001A5D0E" w:rsidP="001E710D">
      <w:pPr>
        <w:spacing w:before="80" w:line="320" w:lineRule="atLeast"/>
        <w:jc w:val="both"/>
        <w:rPr>
          <w:b/>
        </w:rPr>
      </w:pPr>
      <w:r w:rsidRPr="001A5D0E">
        <w:rPr>
          <w:noProof/>
        </w:rPr>
        <w:pict>
          <v:line id="_x0000_s1026" style="position:absolute;left:0;text-align:left;z-index:251660288" from="156.3pt,3.35pt" to="302.1pt,3.35pt"/>
        </w:pict>
      </w:r>
    </w:p>
    <w:p w:rsidR="001E710D" w:rsidRPr="00B5154A" w:rsidRDefault="001E710D" w:rsidP="001E710D">
      <w:pPr>
        <w:ind w:firstLine="567"/>
        <w:jc w:val="center"/>
        <w:rPr>
          <w:sz w:val="10"/>
        </w:rPr>
      </w:pPr>
    </w:p>
    <w:p w:rsidR="001E710D" w:rsidRPr="00B5154A" w:rsidRDefault="001E710D" w:rsidP="001E710D">
      <w:pPr>
        <w:jc w:val="center"/>
      </w:pPr>
      <w:r w:rsidRPr="00B5154A">
        <w:t>Kính gửi: Chính phủ</w:t>
      </w:r>
    </w:p>
    <w:p w:rsidR="001E710D" w:rsidRPr="00B5154A" w:rsidRDefault="001E710D" w:rsidP="001E710D">
      <w:pPr>
        <w:jc w:val="center"/>
      </w:pPr>
    </w:p>
    <w:p w:rsidR="001E710D" w:rsidRPr="00F667CC" w:rsidRDefault="001E710D" w:rsidP="00402B08">
      <w:pPr>
        <w:spacing w:before="80" w:after="80"/>
        <w:ind w:firstLine="567"/>
        <w:jc w:val="both"/>
      </w:pPr>
      <w:r w:rsidRPr="00F667CC">
        <w:rPr>
          <w:lang w:val="pt-BR"/>
        </w:rPr>
        <w:t xml:space="preserve">Thực hiện </w:t>
      </w:r>
      <w:r w:rsidR="00AB0319">
        <w:rPr>
          <w:lang w:val="pt-BR"/>
        </w:rPr>
        <w:t xml:space="preserve">ý kiến chỉ đạo của Thủ tướng Chính phủ tại </w:t>
      </w:r>
      <w:r w:rsidRPr="00F667CC">
        <w:rPr>
          <w:lang w:val="pt-BR"/>
        </w:rPr>
        <w:t xml:space="preserve">Công văn số 996/VPCP-TCCV ngày 08 tháng 02 năm 2017 của Văn phòng Chính phủ về việc </w:t>
      </w:r>
      <w:r w:rsidR="00AB0319">
        <w:rPr>
          <w:lang w:val="pt-BR"/>
        </w:rPr>
        <w:t>giao</w:t>
      </w:r>
      <w:r w:rsidRPr="00F667CC">
        <w:rPr>
          <w:lang w:val="pt-BR"/>
        </w:rPr>
        <w:t xml:space="preserve"> Bộ Lao động - Thương binh và Xã hội trình Chính phủ </w:t>
      </w:r>
      <w:r w:rsidRPr="00F667CC">
        <w:t>Dự</w:t>
      </w:r>
      <w:r>
        <w:t xml:space="preserve"> thảo Nghị định sửa đổi Điều 12</w:t>
      </w:r>
      <w:r w:rsidRPr="00F667CC">
        <w:t xml:space="preserve"> Nghị định số 21/2016/NĐ-CP ngày 31 tháng 3 năm 2016 quy định việc thực hiện chức năng thanh tra chuyên ngành về đóng bảo hiểm xã hội, bảo hiểm thất nghiệp và bảo hiểm y tế của cơ quan Bảo hiểm xã hội</w:t>
      </w:r>
      <w:r w:rsidRPr="00F667CC">
        <w:rPr>
          <w:bCs/>
          <w:color w:val="000000"/>
          <w:lang w:val="nl-NL"/>
        </w:rPr>
        <w:t xml:space="preserve"> (sau đây gọi tắt là Dự thảo Nghị định)</w:t>
      </w:r>
      <w:r w:rsidRPr="00F667CC">
        <w:t xml:space="preserve">. </w:t>
      </w:r>
    </w:p>
    <w:p w:rsidR="001E710D" w:rsidRDefault="001E710D" w:rsidP="00402B08">
      <w:pPr>
        <w:spacing w:before="80" w:after="80"/>
        <w:ind w:firstLine="567"/>
        <w:jc w:val="both"/>
      </w:pPr>
      <w:r>
        <w:t>Trên cơ sở chức năng, nhiệm vụ được giao và căn cứ các văn bản pháp luật có liên quan</w:t>
      </w:r>
      <w:r w:rsidRPr="00B5154A">
        <w:t xml:space="preserve">, Bộ Lao động - Thương binh và Xã hội trình Chính phủ </w:t>
      </w:r>
      <w:r>
        <w:t>dự thảo Nghị định</w:t>
      </w:r>
      <w:r w:rsidRPr="00B5154A">
        <w:t>, cụ thể như sau:</w:t>
      </w:r>
    </w:p>
    <w:p w:rsidR="001E710D" w:rsidRDefault="001E710D" w:rsidP="00402B08">
      <w:pPr>
        <w:spacing w:before="80" w:after="80"/>
        <w:ind w:firstLine="567"/>
        <w:jc w:val="both"/>
        <w:rPr>
          <w:b/>
          <w:sz w:val="26"/>
        </w:rPr>
      </w:pPr>
      <w:r>
        <w:rPr>
          <w:b/>
          <w:sz w:val="26"/>
        </w:rPr>
        <w:tab/>
      </w:r>
      <w:r w:rsidRPr="00FE2B7B">
        <w:rPr>
          <w:b/>
          <w:sz w:val="26"/>
        </w:rPr>
        <w:t xml:space="preserve">I. SỰ CẦN THIẾT BAN HÀNH NGHỊ ĐỊNH </w:t>
      </w:r>
    </w:p>
    <w:p w:rsidR="001E710D" w:rsidRDefault="001E710D" w:rsidP="00402B08">
      <w:pPr>
        <w:shd w:val="clear" w:color="auto" w:fill="FFFFFF"/>
        <w:spacing w:before="80" w:after="80"/>
        <w:jc w:val="both"/>
        <w:rPr>
          <w:color w:val="000000"/>
          <w:shd w:val="clear" w:color="auto" w:fill="FFFFFF"/>
        </w:rPr>
      </w:pPr>
      <w:r w:rsidRPr="003F6EAD">
        <w:rPr>
          <w:color w:val="000000"/>
        </w:rPr>
        <w:tab/>
        <w:t xml:space="preserve">1. </w:t>
      </w:r>
      <w:r w:rsidRPr="003F6EAD">
        <w:t xml:space="preserve">Nghị định số 21/2016/NĐ-CP ngày 31/3/2016 của Chính phủ  quy định việc </w:t>
      </w:r>
      <w:r w:rsidRPr="003F6EAD">
        <w:rPr>
          <w:iCs/>
          <w:color w:val="000000"/>
          <w:shd w:val="clear" w:color="auto" w:fill="FFFFFF"/>
          <w:lang w:val="vi-VN"/>
        </w:rPr>
        <w:t xml:space="preserve"> thực hiện chức năng thanh tra chuyên ngành về đóng bảo hiểm xã hội, bảo hiểm thất nghiệp, bảo hiểm y tế của cơ quan bảo hiểm xã hội</w:t>
      </w:r>
      <w:r w:rsidRPr="003F6EAD">
        <w:rPr>
          <w:iCs/>
          <w:color w:val="000000"/>
          <w:shd w:val="clear" w:color="auto" w:fill="FFFFFF"/>
        </w:rPr>
        <w:t xml:space="preserve">, trong đó khoản 2 Điều 12 quy định </w:t>
      </w:r>
      <w:r w:rsidRPr="003F6EAD">
        <w:rPr>
          <w:i/>
          <w:iCs/>
          <w:color w:val="000000"/>
          <w:shd w:val="clear" w:color="auto" w:fill="FFFFFF"/>
        </w:rPr>
        <w:t>"</w:t>
      </w:r>
      <w:r w:rsidRPr="003F6EAD">
        <w:rPr>
          <w:i/>
          <w:color w:val="000000"/>
          <w:shd w:val="clear" w:color="auto" w:fill="FFFFFF"/>
          <w:lang w:val="vi-VN"/>
        </w:rPr>
        <w:t xml:space="preserve">Cơ quan bảo hiểm xã hội được trích một phần </w:t>
      </w:r>
      <w:r>
        <w:rPr>
          <w:i/>
          <w:color w:val="000000"/>
          <w:shd w:val="clear" w:color="auto" w:fill="FFFFFF"/>
        </w:rPr>
        <w:t>k</w:t>
      </w:r>
      <w:r w:rsidRPr="003F6EAD">
        <w:rPr>
          <w:i/>
          <w:color w:val="000000"/>
          <w:shd w:val="clear" w:color="auto" w:fill="FFFFFF"/>
          <w:lang w:val="vi-VN"/>
        </w:rPr>
        <w:t>hoản phạt lãi chậm nộp phát hiện qua thanh tra để hỗ trợ nâng cao năng lực hoạt động thanh tra, t</w:t>
      </w:r>
      <w:r w:rsidRPr="003F6EAD">
        <w:rPr>
          <w:i/>
          <w:color w:val="000000"/>
          <w:shd w:val="clear" w:color="auto" w:fill="FFFFFF"/>
        </w:rPr>
        <w:t>ă</w:t>
      </w:r>
      <w:r w:rsidRPr="003F6EAD">
        <w:rPr>
          <w:i/>
          <w:color w:val="000000"/>
          <w:shd w:val="clear" w:color="auto" w:fill="FFFFFF"/>
          <w:lang w:val="vi-VN"/>
        </w:rPr>
        <w:t>ng cường cơ sở vật chất và khen thưởng, động viên tổ chức, cá nhân có thành tích</w:t>
      </w:r>
      <w:r w:rsidRPr="003F6EAD">
        <w:rPr>
          <w:i/>
          <w:color w:val="000000"/>
          <w:lang w:val="vi-VN"/>
        </w:rPr>
        <w:t> </w:t>
      </w:r>
      <w:r w:rsidRPr="003F6EAD">
        <w:rPr>
          <w:i/>
          <w:color w:val="000000"/>
          <w:shd w:val="clear" w:color="auto" w:fill="FFFFFF"/>
        </w:rPr>
        <w:t>tr</w:t>
      </w:r>
      <w:r w:rsidRPr="003F6EAD">
        <w:rPr>
          <w:i/>
          <w:color w:val="000000"/>
          <w:shd w:val="clear" w:color="auto" w:fill="FFFFFF"/>
          <w:lang w:val="vi-VN"/>
        </w:rPr>
        <w:t>ong công tác thanh tra chuyên ngành v</w:t>
      </w:r>
      <w:r w:rsidRPr="003F6EAD">
        <w:rPr>
          <w:i/>
          <w:color w:val="000000"/>
          <w:shd w:val="clear" w:color="auto" w:fill="FFFFFF"/>
        </w:rPr>
        <w:t>ề</w:t>
      </w:r>
      <w:r w:rsidRPr="003F6EAD">
        <w:rPr>
          <w:i/>
          <w:color w:val="000000"/>
        </w:rPr>
        <w:t> </w:t>
      </w:r>
      <w:r w:rsidRPr="003F6EAD">
        <w:rPr>
          <w:i/>
          <w:color w:val="000000"/>
          <w:shd w:val="clear" w:color="auto" w:fill="FFFFFF"/>
          <w:lang w:val="vi-VN"/>
        </w:rPr>
        <w:t>đóng bảo hiểm xã hội, bảo hiểm thất nghiệp, bảo hiểm y tế. Việc trích kinh phí trên thực hiện theo quy định của pháp luật</w:t>
      </w:r>
      <w:r w:rsidRPr="003F6EAD">
        <w:rPr>
          <w:i/>
          <w:color w:val="000000"/>
          <w:shd w:val="clear" w:color="auto" w:fill="FFFFFF"/>
        </w:rPr>
        <w:t>".</w:t>
      </w:r>
      <w:r w:rsidRPr="003F6EAD">
        <w:rPr>
          <w:color w:val="000000"/>
          <w:shd w:val="clear" w:color="auto" w:fill="FFFFFF"/>
        </w:rPr>
        <w:t xml:space="preserve"> </w:t>
      </w:r>
    </w:p>
    <w:p w:rsidR="001E710D" w:rsidRPr="003F6EAD" w:rsidRDefault="001E710D" w:rsidP="00402B08">
      <w:pPr>
        <w:shd w:val="clear" w:color="auto" w:fill="FFFFFF"/>
        <w:spacing w:before="80" w:after="80"/>
        <w:ind w:firstLine="720"/>
        <w:jc w:val="both"/>
        <w:rPr>
          <w:i/>
          <w:color w:val="000000"/>
        </w:rPr>
      </w:pPr>
      <w:r w:rsidRPr="003F6EAD">
        <w:rPr>
          <w:color w:val="000000"/>
          <w:shd w:val="clear" w:color="auto" w:fill="FFFFFF"/>
        </w:rPr>
        <w:t xml:space="preserve">Bộ </w:t>
      </w:r>
      <w:r>
        <w:rPr>
          <w:color w:val="000000"/>
          <w:shd w:val="clear" w:color="auto" w:fill="FFFFFF"/>
        </w:rPr>
        <w:t>Lao đ</w:t>
      </w:r>
      <w:r w:rsidR="00A3131C">
        <w:rPr>
          <w:color w:val="000000"/>
          <w:shd w:val="clear" w:color="auto" w:fill="FFFFFF"/>
        </w:rPr>
        <w:t>ộng -</w:t>
      </w:r>
      <w:r>
        <w:rPr>
          <w:color w:val="000000"/>
          <w:shd w:val="clear" w:color="auto" w:fill="FFFFFF"/>
        </w:rPr>
        <w:t xml:space="preserve"> Thương binh và Xã hội</w:t>
      </w:r>
      <w:r w:rsidRPr="003F6EAD">
        <w:rPr>
          <w:color w:val="000000"/>
          <w:shd w:val="clear" w:color="auto" w:fill="FFFFFF"/>
        </w:rPr>
        <w:t xml:space="preserve"> đã rà soát các văn bản pháp luật liên quan và thấy r</w:t>
      </w:r>
      <w:r>
        <w:rPr>
          <w:color w:val="000000"/>
          <w:shd w:val="clear" w:color="auto" w:fill="FFFFFF"/>
        </w:rPr>
        <w:t>ằ</w:t>
      </w:r>
      <w:r w:rsidRPr="003F6EAD">
        <w:rPr>
          <w:color w:val="000000"/>
          <w:shd w:val="clear" w:color="auto" w:fill="FFFFFF"/>
        </w:rPr>
        <w:t xml:space="preserve">ng nếu trích thêm kinh phí từ khoản </w:t>
      </w:r>
      <w:r w:rsidRPr="003F6EAD">
        <w:rPr>
          <w:color w:val="000000"/>
          <w:shd w:val="clear" w:color="auto" w:fill="FFFFFF"/>
          <w:lang w:val="vi-VN"/>
        </w:rPr>
        <w:t>phạt lãi chậm nộp phát hiện qua thanh tra</w:t>
      </w:r>
      <w:r w:rsidRPr="003F6EAD">
        <w:rPr>
          <w:color w:val="000000"/>
          <w:shd w:val="clear" w:color="auto" w:fill="FFFFFF"/>
        </w:rPr>
        <w:t xml:space="preserve"> thì không phù hợp với quy định của Luật </w:t>
      </w:r>
      <w:r>
        <w:rPr>
          <w:color w:val="000000"/>
          <w:shd w:val="clear" w:color="auto" w:fill="FFFFFF"/>
        </w:rPr>
        <w:t>Bảo hiểm xã hội và Luật Bảo hiểm y tế</w:t>
      </w:r>
      <w:r w:rsidRPr="003F6EAD">
        <w:rPr>
          <w:color w:val="000000"/>
          <w:shd w:val="clear" w:color="auto" w:fill="FFFFFF"/>
        </w:rPr>
        <w:t>, cụ thể:</w:t>
      </w:r>
    </w:p>
    <w:p w:rsidR="001E710D" w:rsidRPr="003F6EAD" w:rsidRDefault="001E710D" w:rsidP="00402B08">
      <w:pPr>
        <w:shd w:val="clear" w:color="auto" w:fill="FFFFFF"/>
        <w:spacing w:before="80" w:after="80"/>
        <w:jc w:val="both"/>
        <w:rPr>
          <w:i/>
          <w:color w:val="000000"/>
        </w:rPr>
      </w:pPr>
      <w:r w:rsidRPr="003F6EAD">
        <w:rPr>
          <w:i/>
          <w:color w:val="000000"/>
        </w:rPr>
        <w:tab/>
      </w:r>
      <w:r>
        <w:rPr>
          <w:i/>
          <w:color w:val="000000"/>
        </w:rPr>
        <w:t>+</w:t>
      </w:r>
      <w:r w:rsidRPr="003F6EAD">
        <w:rPr>
          <w:color w:val="000000"/>
          <w:shd w:val="clear" w:color="auto" w:fill="FFFFFF"/>
        </w:rPr>
        <w:t xml:space="preserve"> Đối với tiền lãi chậm nộp </w:t>
      </w:r>
      <w:r w:rsidRPr="00F667CC">
        <w:t>bảo hiểm xã hội, bảo hiểm thất nghiệp</w:t>
      </w:r>
      <w:r w:rsidRPr="003F6EAD">
        <w:rPr>
          <w:color w:val="000000"/>
          <w:shd w:val="clear" w:color="auto" w:fill="FFFFFF"/>
        </w:rPr>
        <w:t>: Theo quy đị</w:t>
      </w:r>
      <w:r>
        <w:rPr>
          <w:color w:val="000000"/>
          <w:shd w:val="clear" w:color="auto" w:fill="FFFFFF"/>
        </w:rPr>
        <w:t>nh tại khoản 3 Điều 122 Luật Bảo hiểm xã hội</w:t>
      </w:r>
      <w:r w:rsidRPr="003F6EAD">
        <w:rPr>
          <w:color w:val="000000"/>
          <w:shd w:val="clear" w:color="auto" w:fill="FFFFFF"/>
        </w:rPr>
        <w:t xml:space="preserve">, toàn bộ tiền lãi chậm nộp </w:t>
      </w:r>
      <w:r w:rsidRPr="00F667CC">
        <w:t xml:space="preserve">bảo hiểm xã hội, bảo hiểm thất nghiệp </w:t>
      </w:r>
      <w:r w:rsidRPr="003F6EAD">
        <w:rPr>
          <w:color w:val="000000"/>
          <w:shd w:val="clear" w:color="auto" w:fill="FFFFFF"/>
        </w:rPr>
        <w:t xml:space="preserve">được nộp vào quỹ </w:t>
      </w:r>
      <w:r w:rsidRPr="00F667CC">
        <w:t>bảo hiểm xã hội, bảo hiểm thất nghiệp</w:t>
      </w:r>
      <w:r w:rsidRPr="003F6EAD">
        <w:rPr>
          <w:color w:val="000000"/>
          <w:shd w:val="clear" w:color="auto" w:fill="FFFFFF"/>
        </w:rPr>
        <w:t>.</w:t>
      </w:r>
    </w:p>
    <w:p w:rsidR="001E710D" w:rsidRPr="003F6EAD" w:rsidRDefault="001E710D" w:rsidP="00A3131C">
      <w:pPr>
        <w:shd w:val="clear" w:color="auto" w:fill="FFFFFF"/>
        <w:spacing w:before="100" w:after="100"/>
        <w:jc w:val="both"/>
        <w:rPr>
          <w:color w:val="000000"/>
          <w:shd w:val="clear" w:color="auto" w:fill="FFFFFF"/>
        </w:rPr>
      </w:pPr>
      <w:r w:rsidRPr="003F6EAD">
        <w:rPr>
          <w:color w:val="000000"/>
          <w:shd w:val="clear" w:color="auto" w:fill="FFFFFF"/>
        </w:rPr>
        <w:lastRenderedPageBreak/>
        <w:tab/>
      </w:r>
      <w:r>
        <w:rPr>
          <w:color w:val="000000"/>
          <w:shd w:val="clear" w:color="auto" w:fill="FFFFFF"/>
        </w:rPr>
        <w:t>- Đối với tiền lãi chậm nộp bảo hiểm y tế</w:t>
      </w:r>
      <w:r w:rsidRPr="003F6EAD">
        <w:rPr>
          <w:color w:val="000000"/>
          <w:shd w:val="clear" w:color="auto" w:fill="FFFFFF"/>
        </w:rPr>
        <w:t xml:space="preserve">: Theo quy định tại </w:t>
      </w:r>
      <w:r>
        <w:rPr>
          <w:color w:val="000000"/>
          <w:shd w:val="clear" w:color="auto" w:fill="FFFFFF"/>
        </w:rPr>
        <w:t xml:space="preserve">điểm a khoản 3 Điều 49 Luật Bảo hiểm y tế </w:t>
      </w:r>
      <w:r w:rsidRPr="003F6EAD">
        <w:rPr>
          <w:color w:val="000000"/>
          <w:shd w:val="clear" w:color="auto" w:fill="FFFFFF"/>
        </w:rPr>
        <w:t xml:space="preserve">đã được sửa đổi, bổ sung năm 2014 toàn bộ tiền lãi chậm nộp </w:t>
      </w:r>
      <w:r>
        <w:rPr>
          <w:color w:val="000000"/>
          <w:shd w:val="clear" w:color="auto" w:fill="FFFFFF"/>
        </w:rPr>
        <w:t>bảo hiểm y tế</w:t>
      </w:r>
      <w:r w:rsidRPr="003F6EAD">
        <w:rPr>
          <w:color w:val="000000"/>
          <w:shd w:val="clear" w:color="auto" w:fill="FFFFFF"/>
        </w:rPr>
        <w:t xml:space="preserve"> được nộp vào quỹ </w:t>
      </w:r>
      <w:r>
        <w:rPr>
          <w:color w:val="000000"/>
          <w:shd w:val="clear" w:color="auto" w:fill="FFFFFF"/>
        </w:rPr>
        <w:t>bảo hiểm y tế</w:t>
      </w:r>
      <w:r w:rsidRPr="003F6EAD">
        <w:rPr>
          <w:color w:val="000000"/>
          <w:shd w:val="clear" w:color="auto" w:fill="FFFFFF"/>
        </w:rPr>
        <w:t>.</w:t>
      </w:r>
    </w:p>
    <w:p w:rsidR="001E710D" w:rsidRDefault="001E710D" w:rsidP="00A3131C">
      <w:pPr>
        <w:shd w:val="clear" w:color="auto" w:fill="FFFFFF"/>
        <w:spacing w:before="100" w:after="100"/>
        <w:jc w:val="both"/>
        <w:rPr>
          <w:color w:val="000000"/>
          <w:shd w:val="clear" w:color="auto" w:fill="FFFFFF"/>
        </w:rPr>
      </w:pPr>
      <w:r w:rsidRPr="003F6EAD">
        <w:rPr>
          <w:color w:val="000000"/>
          <w:shd w:val="clear" w:color="auto" w:fill="FFFFFF"/>
        </w:rPr>
        <w:tab/>
        <w:t xml:space="preserve">Căn cứ các quy định nêu trên của Luật, thì toàn bộ số tiền lãi chậm đóng, trốn đóng </w:t>
      </w:r>
      <w:r w:rsidRPr="00F667CC">
        <w:t>bảo hiểm xã hội, bảo hiểm thất nghiệp</w:t>
      </w:r>
      <w:r w:rsidRPr="003F6EAD">
        <w:rPr>
          <w:color w:val="000000"/>
          <w:shd w:val="clear" w:color="auto" w:fill="FFFFFF"/>
        </w:rPr>
        <w:t xml:space="preserve">, </w:t>
      </w:r>
      <w:r>
        <w:rPr>
          <w:color w:val="000000"/>
          <w:shd w:val="clear" w:color="auto" w:fill="FFFFFF"/>
        </w:rPr>
        <w:t>bảo hiểm y tế</w:t>
      </w:r>
      <w:r w:rsidRPr="003F6EAD">
        <w:rPr>
          <w:color w:val="000000"/>
          <w:shd w:val="clear" w:color="auto" w:fill="FFFFFF"/>
        </w:rPr>
        <w:t xml:space="preserve"> được nộp vào quỹ </w:t>
      </w:r>
      <w:r w:rsidRPr="00F667CC">
        <w:t>bảo hiểm xã hội, bảo hiểm thất nghiệp</w:t>
      </w:r>
      <w:r w:rsidRPr="003F6EAD">
        <w:rPr>
          <w:color w:val="000000"/>
          <w:shd w:val="clear" w:color="auto" w:fill="FFFFFF"/>
        </w:rPr>
        <w:t xml:space="preserve">, quỹ </w:t>
      </w:r>
      <w:r>
        <w:rPr>
          <w:color w:val="000000"/>
          <w:shd w:val="clear" w:color="auto" w:fill="FFFFFF"/>
        </w:rPr>
        <w:t>bảo hiểm y tế</w:t>
      </w:r>
      <w:r w:rsidRPr="003F6EAD">
        <w:rPr>
          <w:color w:val="000000"/>
          <w:shd w:val="clear" w:color="auto" w:fill="FFFFFF"/>
        </w:rPr>
        <w:t>.</w:t>
      </w:r>
    </w:p>
    <w:p w:rsidR="001E710D" w:rsidRPr="003F6EAD" w:rsidRDefault="001E710D" w:rsidP="00A3131C">
      <w:pPr>
        <w:spacing w:before="100" w:after="100"/>
        <w:ind w:right="57" w:firstLine="709"/>
        <w:jc w:val="both"/>
        <w:rPr>
          <w:rFonts w:eastAsiaTheme="minorHAnsi" w:cstheme="minorBidi"/>
          <w:szCs w:val="22"/>
        </w:rPr>
      </w:pPr>
      <w:r>
        <w:rPr>
          <w:rFonts w:eastAsiaTheme="minorHAnsi" w:cstheme="minorBidi"/>
          <w:szCs w:val="22"/>
        </w:rPr>
        <w:t>2</w:t>
      </w:r>
      <w:r w:rsidRPr="003F6EAD">
        <w:rPr>
          <w:rFonts w:eastAsiaTheme="minorHAnsi" w:cstheme="minorBidi"/>
          <w:szCs w:val="22"/>
        </w:rPr>
        <w:t xml:space="preserve">. Về kinh phí hoạt động đối với cơ quan thanh tra nhà nước do ngân sách nhà nước bảo đảm (không áp dụng với cơ quan </w:t>
      </w:r>
      <w:r>
        <w:t>B</w:t>
      </w:r>
      <w:r w:rsidRPr="00F667CC">
        <w:t>ảo hiểm xã hội</w:t>
      </w:r>
      <w:r w:rsidRPr="003F6EAD">
        <w:rPr>
          <w:rFonts w:eastAsiaTheme="minorHAnsi" w:cstheme="minorBidi"/>
          <w:szCs w:val="22"/>
        </w:rPr>
        <w:t>):</w:t>
      </w:r>
    </w:p>
    <w:p w:rsidR="001E710D" w:rsidRPr="003F6EAD" w:rsidRDefault="001E710D" w:rsidP="00A3131C">
      <w:pPr>
        <w:spacing w:before="100" w:after="100"/>
        <w:ind w:right="57" w:firstLine="709"/>
        <w:jc w:val="both"/>
        <w:rPr>
          <w:rFonts w:eastAsiaTheme="minorHAnsi"/>
          <w:color w:val="000000"/>
          <w:shd w:val="clear" w:color="auto" w:fill="FFFFFF"/>
        </w:rPr>
      </w:pPr>
      <w:r w:rsidRPr="003F6EAD">
        <w:rPr>
          <w:rFonts w:eastAsiaTheme="minorHAnsi" w:cstheme="minorBidi"/>
          <w:szCs w:val="22"/>
        </w:rPr>
        <w:t xml:space="preserve">Tại khoản 2 Điều 72 Nghị định số 86/2011/NĐ-CP ngày 22/9/2011 của Chính phủ quy định chi tiết và hướng dẫn thi hành một số điều của Luật thanh tra quy định </w:t>
      </w:r>
      <w:r w:rsidRPr="003F6EAD">
        <w:rPr>
          <w:rFonts w:eastAsiaTheme="minorHAnsi" w:cstheme="minorBidi"/>
          <w:i/>
          <w:szCs w:val="22"/>
        </w:rPr>
        <w:t xml:space="preserve">"Các cơ quan thanh tra nhà nước được trích một phần số tiền từ các khoản thu hồi phát hiện qua thanh tra thực nộp vào ngân sách nhà nước để hỗ trợ nâng cao năng lực hoạt động thanh tra, tăng cường cơ sở vật chất và khen thưởng, động viên tổ chức, cá nhân có thành tích trong công tác thanh tra". </w:t>
      </w:r>
      <w:r w:rsidRPr="003F6EAD">
        <w:rPr>
          <w:rFonts w:eastAsiaTheme="minorHAnsi" w:cstheme="minorBidi"/>
          <w:szCs w:val="22"/>
        </w:rPr>
        <w:t>Mức trích cụ thể thực hiện theo quy định tại Thông tư liên tịch số 90/2012/TTLT-</w:t>
      </w:r>
      <w:r w:rsidRPr="003F6EAD">
        <w:rPr>
          <w:rFonts w:eastAsiaTheme="minorHAnsi"/>
        </w:rPr>
        <w:t xml:space="preserve">BTC-TTCP ngày 30/5/2012 của Bộ Tài chính và Thanh tra Chính phủ </w:t>
      </w:r>
      <w:r w:rsidRPr="003F6EAD">
        <w:rPr>
          <w:rFonts w:eastAsiaTheme="minorHAnsi"/>
          <w:color w:val="000000"/>
          <w:shd w:val="clear" w:color="auto" w:fill="FFFFFF"/>
        </w:rPr>
        <w:t>quy định việc lập dự toán, quản lý, sử dụng và quyết toán kinh phí được trích từ các khoản thu hồi phát hiện qua công tác thanh tra đã thực nộp vào ngân sách nhà nước; trong đó thanh tra của các Bộ, cơ quan ngang Bộ, thanh tra các tỉnh, thành phố được trích theo 3 mức như sau:</w:t>
      </w:r>
    </w:p>
    <w:p w:rsidR="001E710D" w:rsidRPr="003F6EAD" w:rsidRDefault="001E710D" w:rsidP="00A3131C">
      <w:pPr>
        <w:spacing w:before="100" w:after="100"/>
        <w:ind w:right="57" w:firstLine="709"/>
        <w:jc w:val="both"/>
        <w:rPr>
          <w:rFonts w:eastAsiaTheme="minorHAnsi"/>
          <w:color w:val="000000"/>
        </w:rPr>
      </w:pPr>
      <w:r w:rsidRPr="003F6EAD">
        <w:rPr>
          <w:rFonts w:eastAsiaTheme="minorHAnsi"/>
          <w:color w:val="000000"/>
        </w:rPr>
        <w:t>-  Được trích tối đa 30% trên tổng số tiền đã thực nộp vào ngân sách nhà nước đối với số nộp đến 10 tỷ đồng/năm;</w:t>
      </w:r>
    </w:p>
    <w:p w:rsidR="001E710D" w:rsidRPr="003F6EAD" w:rsidRDefault="001E710D" w:rsidP="00A3131C">
      <w:pPr>
        <w:spacing w:before="100" w:after="100"/>
        <w:ind w:right="57" w:firstLine="709"/>
        <w:jc w:val="both"/>
        <w:rPr>
          <w:rFonts w:eastAsiaTheme="minorHAnsi"/>
          <w:color w:val="000000"/>
        </w:rPr>
      </w:pPr>
      <w:r w:rsidRPr="003F6EAD">
        <w:rPr>
          <w:rFonts w:eastAsiaTheme="minorHAnsi"/>
          <w:color w:val="000000"/>
        </w:rPr>
        <w:t>- Được trích bổ sung thêm tối đa 20% trên tổng số tiền đã thực nộp vào ngân sách nhà nước đối với số nộp từ trên 10 tỷ đồng đến 20 tỷ đồng/năm;</w:t>
      </w:r>
    </w:p>
    <w:p w:rsidR="001E710D" w:rsidRPr="003F6EAD" w:rsidRDefault="001E710D" w:rsidP="00A3131C">
      <w:pPr>
        <w:spacing w:before="100" w:after="100"/>
        <w:ind w:right="57" w:firstLine="709"/>
        <w:jc w:val="both"/>
        <w:rPr>
          <w:rFonts w:eastAsiaTheme="minorHAnsi"/>
          <w:color w:val="000000"/>
        </w:rPr>
      </w:pPr>
      <w:r w:rsidRPr="003F6EAD">
        <w:rPr>
          <w:rFonts w:eastAsiaTheme="minorHAnsi"/>
          <w:color w:val="000000"/>
        </w:rPr>
        <w:t>- Được trích bổ sung thêm tối đa 10% trên tổng số tiền đã thực nộp vào ngân sách nhà nước đối với số nộp từ trên 20 tỷ đồng/năm.</w:t>
      </w:r>
    </w:p>
    <w:p w:rsidR="001E710D" w:rsidRPr="003F6EAD" w:rsidRDefault="001E710D" w:rsidP="00A3131C">
      <w:pPr>
        <w:spacing w:before="100" w:after="100"/>
        <w:ind w:right="57" w:firstLine="709"/>
        <w:jc w:val="both"/>
        <w:rPr>
          <w:rFonts w:eastAsiaTheme="minorHAnsi"/>
          <w:color w:val="000000"/>
        </w:rPr>
      </w:pPr>
      <w:r>
        <w:rPr>
          <w:rFonts w:eastAsiaTheme="minorHAnsi"/>
          <w:color w:val="000000"/>
        </w:rPr>
        <w:t>3</w:t>
      </w:r>
      <w:r w:rsidRPr="003F6EAD">
        <w:rPr>
          <w:rFonts w:eastAsiaTheme="minorHAnsi"/>
          <w:color w:val="000000"/>
        </w:rPr>
        <w:t xml:space="preserve">. Về kinh phí hoạt động của cơ quan </w:t>
      </w:r>
      <w:r>
        <w:t>B</w:t>
      </w:r>
      <w:r w:rsidRPr="00F667CC">
        <w:t>ảo hiểm xã hội</w:t>
      </w:r>
    </w:p>
    <w:p w:rsidR="001E710D" w:rsidRPr="003F6EAD" w:rsidRDefault="001E710D" w:rsidP="00A3131C">
      <w:pPr>
        <w:spacing w:before="100" w:after="100"/>
        <w:ind w:right="57" w:firstLine="709"/>
        <w:jc w:val="both"/>
        <w:rPr>
          <w:rFonts w:eastAsiaTheme="minorHAnsi"/>
          <w:i/>
          <w:color w:val="000000" w:themeColor="text1"/>
          <w:shd w:val="clear" w:color="auto" w:fill="FFFFFF"/>
        </w:rPr>
      </w:pPr>
      <w:r w:rsidRPr="003F6EAD">
        <w:rPr>
          <w:rFonts w:eastAsiaTheme="minorHAnsi"/>
          <w:iCs/>
          <w:color w:val="000000" w:themeColor="text1"/>
          <w:shd w:val="clear" w:color="auto" w:fill="FFFFFF"/>
        </w:rPr>
        <w:t>Trên cơ sở đề nghị của Chính phủ tại b</w:t>
      </w:r>
      <w:r w:rsidRPr="003F6EAD">
        <w:rPr>
          <w:rFonts w:eastAsiaTheme="minorHAnsi"/>
          <w:iCs/>
          <w:color w:val="000000" w:themeColor="text1"/>
          <w:shd w:val="clear" w:color="auto" w:fill="FFFFFF"/>
          <w:lang w:val="vi-VN"/>
        </w:rPr>
        <w:t>áo c</w:t>
      </w:r>
      <w:r w:rsidRPr="003F6EAD">
        <w:rPr>
          <w:rFonts w:eastAsiaTheme="minorHAnsi"/>
          <w:iCs/>
          <w:color w:val="000000" w:themeColor="text1"/>
          <w:shd w:val="clear" w:color="auto" w:fill="FFFFFF"/>
        </w:rPr>
        <w:t>á</w:t>
      </w:r>
      <w:r w:rsidRPr="003F6EAD">
        <w:rPr>
          <w:rFonts w:eastAsiaTheme="minorHAnsi"/>
          <w:iCs/>
          <w:color w:val="000000" w:themeColor="text1"/>
          <w:shd w:val="clear" w:color="auto" w:fill="FFFFFF"/>
          <w:lang w:val="vi-VN"/>
        </w:rPr>
        <w:t>o</w:t>
      </w:r>
      <w:r w:rsidRPr="003F6EAD">
        <w:rPr>
          <w:rFonts w:eastAsiaTheme="minorHAnsi"/>
          <w:iCs/>
          <w:color w:val="000000" w:themeColor="text1"/>
          <w:lang w:val="vi-VN"/>
        </w:rPr>
        <w:t> </w:t>
      </w:r>
      <w:r w:rsidRPr="003F6EAD">
        <w:rPr>
          <w:rFonts w:eastAsiaTheme="minorHAnsi"/>
          <w:iCs/>
          <w:color w:val="000000" w:themeColor="text1"/>
          <w:shd w:val="clear" w:color="auto" w:fill="FFFFFF"/>
          <w:lang w:val="vi-VN"/>
        </w:rPr>
        <w:t>số</w:t>
      </w:r>
      <w:hyperlink r:id="rId6" w:tgtFrame="_blank" w:history="1">
        <w:r w:rsidRPr="003F6EAD">
          <w:rPr>
            <w:rFonts w:eastAsiaTheme="minorHAnsi"/>
            <w:iCs/>
            <w:color w:val="000000" w:themeColor="text1"/>
            <w:lang w:val="vi-VN"/>
          </w:rPr>
          <w:t> 480/BC-CP</w:t>
        </w:r>
      </w:hyperlink>
      <w:r w:rsidRPr="003F6EAD">
        <w:rPr>
          <w:rFonts w:eastAsiaTheme="minorHAnsi"/>
          <w:iCs/>
          <w:color w:val="000000" w:themeColor="text1"/>
          <w:lang w:val="vi-VN"/>
        </w:rPr>
        <w:t> </w:t>
      </w:r>
      <w:r w:rsidRPr="003F6EAD">
        <w:rPr>
          <w:rFonts w:eastAsiaTheme="minorHAnsi"/>
          <w:iCs/>
          <w:color w:val="000000" w:themeColor="text1"/>
          <w:shd w:val="clear" w:color="auto" w:fill="FFFFFF"/>
          <w:lang w:val="vi-VN"/>
        </w:rPr>
        <w:t>ngày 09 tháng</w:t>
      </w:r>
      <w:r w:rsidRPr="003F6EAD">
        <w:rPr>
          <w:rFonts w:eastAsiaTheme="minorHAnsi"/>
          <w:iCs/>
          <w:color w:val="000000" w:themeColor="text1"/>
        </w:rPr>
        <w:t> </w:t>
      </w:r>
      <w:r w:rsidRPr="003F6EAD">
        <w:rPr>
          <w:rFonts w:eastAsiaTheme="minorHAnsi"/>
          <w:iCs/>
          <w:color w:val="000000" w:themeColor="text1"/>
          <w:shd w:val="clear" w:color="auto" w:fill="FFFFFF"/>
        </w:rPr>
        <w:t>10</w:t>
      </w:r>
      <w:r w:rsidRPr="003F6EAD">
        <w:rPr>
          <w:rFonts w:eastAsiaTheme="minorHAnsi"/>
          <w:iCs/>
          <w:color w:val="000000" w:themeColor="text1"/>
        </w:rPr>
        <w:t> </w:t>
      </w:r>
      <w:r w:rsidRPr="003F6EAD">
        <w:rPr>
          <w:rFonts w:eastAsiaTheme="minorHAnsi"/>
          <w:iCs/>
          <w:color w:val="000000" w:themeColor="text1"/>
          <w:shd w:val="clear" w:color="auto" w:fill="FFFFFF"/>
          <w:lang w:val="vi-VN"/>
        </w:rPr>
        <w:t>năm 2015</w:t>
      </w:r>
      <w:r w:rsidRPr="003F6EAD">
        <w:rPr>
          <w:rFonts w:eastAsiaTheme="minorHAnsi"/>
          <w:iCs/>
          <w:color w:val="000000" w:themeColor="text1"/>
          <w:shd w:val="clear" w:color="auto" w:fill="FFFFFF"/>
        </w:rPr>
        <w:t xml:space="preserve">, Ủy ban thường vụ quốc hội đã ban hành Nghị quyết số </w:t>
      </w:r>
      <w:r w:rsidRPr="003F6EAD">
        <w:rPr>
          <w:rFonts w:eastAsiaTheme="minorHAnsi"/>
          <w:color w:val="000000" w:themeColor="text1"/>
          <w:shd w:val="clear" w:color="auto" w:fill="FFFFFF"/>
        </w:rPr>
        <w:t xml:space="preserve">1083/2015/UBTVQH13 ngày 16/12/2015 về chi phí quản lý </w:t>
      </w:r>
      <w:r>
        <w:rPr>
          <w:rFonts w:eastAsiaTheme="minorHAnsi"/>
          <w:color w:val="000000" w:themeColor="text1"/>
          <w:shd w:val="clear" w:color="auto" w:fill="FFFFFF"/>
        </w:rPr>
        <w:t>bảo hiểm xã hội, bảo hiểm thất nghiệp</w:t>
      </w:r>
      <w:r w:rsidRPr="003F6EAD">
        <w:rPr>
          <w:rFonts w:eastAsiaTheme="minorHAnsi"/>
          <w:color w:val="000000" w:themeColor="text1"/>
          <w:shd w:val="clear" w:color="auto" w:fill="FFFFFF"/>
        </w:rPr>
        <w:t xml:space="preserve"> giai đoạn 2016-2018 như sau:</w:t>
      </w:r>
      <w:r w:rsidRPr="003F6EAD">
        <w:rPr>
          <w:rFonts w:eastAsiaTheme="minorHAnsi"/>
          <w:i/>
          <w:color w:val="000000" w:themeColor="text1"/>
          <w:shd w:val="clear" w:color="auto" w:fill="FFFFFF"/>
        </w:rPr>
        <w:t xml:space="preserve"> "</w:t>
      </w:r>
      <w:r w:rsidRPr="003F6EAD">
        <w:rPr>
          <w:rFonts w:eastAsiaTheme="minorHAnsi"/>
          <w:i/>
          <w:color w:val="000000" w:themeColor="text1"/>
          <w:lang w:val="vi-VN"/>
        </w:rPr>
        <w:t>Mức chi phí quản lý bảo hiểm xã hội hằng năm bằng 2,3% dự toán thu, chi bảo hiểm xã hội, được trích từ tiền sinh lời của hoạt động đầu tư từ quỹ bảo hiểm xã hội;</w:t>
      </w:r>
      <w:r w:rsidRPr="003F6EAD">
        <w:rPr>
          <w:rFonts w:eastAsiaTheme="minorHAnsi"/>
          <w:i/>
          <w:color w:val="000000" w:themeColor="text1"/>
        </w:rPr>
        <w:t xml:space="preserve"> m</w:t>
      </w:r>
      <w:r w:rsidRPr="003F6EAD">
        <w:rPr>
          <w:rFonts w:eastAsiaTheme="minorHAnsi"/>
          <w:i/>
          <w:color w:val="000000" w:themeColor="text1"/>
          <w:lang w:val="vi-VN"/>
        </w:rPr>
        <w:t>ức chi phí quản lý bảo hiểm thất nghiệp hằng năm bằng 2,3% dự toán thu, chi bảo hiểm thất nghiệp, được trích từ quỹ bảo hiểm thất nghiệp</w:t>
      </w:r>
      <w:r w:rsidRPr="003F6EAD">
        <w:rPr>
          <w:rFonts w:eastAsiaTheme="minorHAnsi"/>
          <w:i/>
          <w:color w:val="000000" w:themeColor="text1"/>
          <w:shd w:val="clear" w:color="auto" w:fill="FFFFFF"/>
        </w:rPr>
        <w:t>"</w:t>
      </w:r>
    </w:p>
    <w:p w:rsidR="001E710D" w:rsidRPr="003F6EAD" w:rsidRDefault="001E710D" w:rsidP="00A3131C">
      <w:pPr>
        <w:spacing w:before="100" w:after="100"/>
        <w:ind w:right="57" w:firstLine="709"/>
        <w:jc w:val="both"/>
        <w:rPr>
          <w:rFonts w:eastAsiaTheme="minorHAnsi"/>
          <w:color w:val="000000"/>
        </w:rPr>
      </w:pPr>
      <w:r w:rsidRPr="003F6EAD">
        <w:rPr>
          <w:rFonts w:eastAsiaTheme="minorHAnsi"/>
          <w:color w:val="000000" w:themeColor="text1"/>
          <w:shd w:val="clear" w:color="auto" w:fill="FFFFFF"/>
        </w:rPr>
        <w:t xml:space="preserve">Thi hành quy định nêu trên của Luật </w:t>
      </w:r>
      <w:r>
        <w:rPr>
          <w:rFonts w:eastAsiaTheme="minorHAnsi"/>
          <w:color w:val="000000" w:themeColor="text1"/>
          <w:shd w:val="clear" w:color="auto" w:fill="FFFFFF"/>
        </w:rPr>
        <w:t xml:space="preserve">Bảo hiểm xã hội </w:t>
      </w:r>
      <w:r w:rsidRPr="003F6EAD">
        <w:rPr>
          <w:rFonts w:eastAsiaTheme="minorHAnsi"/>
          <w:color w:val="000000" w:themeColor="text1"/>
          <w:shd w:val="clear" w:color="auto" w:fill="FFFFFF"/>
        </w:rPr>
        <w:t>năm 2014, Luật B</w:t>
      </w:r>
      <w:r>
        <w:rPr>
          <w:rFonts w:eastAsiaTheme="minorHAnsi"/>
          <w:color w:val="000000" w:themeColor="text1"/>
          <w:shd w:val="clear" w:color="auto" w:fill="FFFFFF"/>
        </w:rPr>
        <w:t xml:space="preserve">ảo hiểm y tế </w:t>
      </w:r>
      <w:r w:rsidRPr="003F6EAD">
        <w:rPr>
          <w:rFonts w:eastAsiaTheme="minorHAnsi"/>
          <w:color w:val="000000" w:themeColor="text1"/>
          <w:shd w:val="clear" w:color="auto" w:fill="FFFFFF"/>
        </w:rPr>
        <w:t xml:space="preserve">và </w:t>
      </w:r>
      <w:r w:rsidRPr="003F6EAD">
        <w:rPr>
          <w:rFonts w:eastAsiaTheme="minorHAnsi"/>
          <w:iCs/>
          <w:color w:val="000000" w:themeColor="text1"/>
          <w:shd w:val="clear" w:color="auto" w:fill="FFFFFF"/>
        </w:rPr>
        <w:t xml:space="preserve">Nghị quyết số </w:t>
      </w:r>
      <w:r w:rsidRPr="003F6EAD">
        <w:rPr>
          <w:rFonts w:eastAsiaTheme="minorHAnsi"/>
          <w:color w:val="000000" w:themeColor="text1"/>
          <w:shd w:val="clear" w:color="auto" w:fill="FFFFFF"/>
        </w:rPr>
        <w:t xml:space="preserve">1083/2015/UBTVQH13 của </w:t>
      </w:r>
      <w:r w:rsidRPr="003F6EAD">
        <w:rPr>
          <w:rFonts w:eastAsiaTheme="minorHAnsi"/>
          <w:iCs/>
          <w:color w:val="000000" w:themeColor="text1"/>
          <w:shd w:val="clear" w:color="auto" w:fill="FFFFFF"/>
        </w:rPr>
        <w:t xml:space="preserve">Ủy ban thường vụ quốc hội; Thủ tướng Chính phủ đã ban hành Quyết định số </w:t>
      </w:r>
      <w:r w:rsidRPr="003F6EAD">
        <w:rPr>
          <w:rFonts w:eastAsiaTheme="minorHAnsi"/>
          <w:color w:val="000000"/>
          <w:shd w:val="clear" w:color="auto" w:fill="FFFFFF"/>
        </w:rPr>
        <w:t xml:space="preserve">15/2016/QĐ-TTg ngày 05/4/2016 </w:t>
      </w:r>
      <w:r w:rsidRPr="003F6EAD">
        <w:rPr>
          <w:rFonts w:eastAsiaTheme="minorHAnsi"/>
          <w:iCs/>
          <w:color w:val="000000"/>
          <w:shd w:val="clear" w:color="auto" w:fill="FFFFFF"/>
          <w:lang w:val="vi-VN"/>
        </w:rPr>
        <w:t>về mức ch</w:t>
      </w:r>
      <w:r w:rsidRPr="003F6EAD">
        <w:rPr>
          <w:rFonts w:eastAsiaTheme="minorHAnsi"/>
          <w:iCs/>
          <w:color w:val="000000"/>
          <w:shd w:val="clear" w:color="auto" w:fill="FFFFFF"/>
        </w:rPr>
        <w:t>i</w:t>
      </w:r>
      <w:r w:rsidRPr="003F6EAD">
        <w:rPr>
          <w:rFonts w:eastAsiaTheme="minorHAnsi"/>
          <w:iCs/>
          <w:color w:val="000000"/>
          <w:lang w:val="vi-VN"/>
        </w:rPr>
        <w:t> </w:t>
      </w:r>
      <w:r w:rsidRPr="003F6EAD">
        <w:rPr>
          <w:rFonts w:eastAsiaTheme="minorHAnsi"/>
          <w:iCs/>
          <w:color w:val="000000"/>
          <w:shd w:val="clear" w:color="auto" w:fill="FFFFFF"/>
          <w:lang w:val="vi-VN"/>
        </w:rPr>
        <w:t>ph</w:t>
      </w:r>
      <w:r w:rsidRPr="003F6EAD">
        <w:rPr>
          <w:rFonts w:eastAsiaTheme="minorHAnsi"/>
          <w:iCs/>
          <w:color w:val="000000"/>
          <w:shd w:val="clear" w:color="auto" w:fill="FFFFFF"/>
        </w:rPr>
        <w:t>í</w:t>
      </w:r>
      <w:r w:rsidRPr="003F6EAD">
        <w:rPr>
          <w:rFonts w:eastAsiaTheme="minorHAnsi"/>
          <w:iCs/>
          <w:color w:val="000000"/>
        </w:rPr>
        <w:t> </w:t>
      </w:r>
      <w:r w:rsidRPr="003F6EAD">
        <w:rPr>
          <w:rFonts w:eastAsiaTheme="minorHAnsi"/>
          <w:iCs/>
          <w:color w:val="000000"/>
          <w:shd w:val="clear" w:color="auto" w:fill="FFFFFF"/>
          <w:lang w:val="vi-VN"/>
        </w:rPr>
        <w:t>quản</w:t>
      </w:r>
      <w:r w:rsidRPr="003F6EAD">
        <w:rPr>
          <w:rFonts w:eastAsiaTheme="minorHAnsi"/>
          <w:iCs/>
          <w:color w:val="000000"/>
          <w:lang w:val="vi-VN"/>
        </w:rPr>
        <w:t> </w:t>
      </w:r>
      <w:r w:rsidRPr="003F6EAD">
        <w:rPr>
          <w:rFonts w:eastAsiaTheme="minorHAnsi"/>
          <w:iCs/>
          <w:color w:val="000000"/>
          <w:shd w:val="clear" w:color="auto" w:fill="FFFFFF"/>
        </w:rPr>
        <w:t>lý</w:t>
      </w:r>
      <w:r w:rsidRPr="003F6EAD">
        <w:rPr>
          <w:rFonts w:eastAsiaTheme="minorHAnsi"/>
          <w:iCs/>
          <w:color w:val="000000"/>
        </w:rPr>
        <w:t> </w:t>
      </w:r>
      <w:r w:rsidRPr="003F6EAD">
        <w:rPr>
          <w:rFonts w:eastAsiaTheme="minorHAnsi"/>
          <w:iCs/>
          <w:color w:val="000000"/>
          <w:shd w:val="clear" w:color="auto" w:fill="FFFFFF"/>
          <w:lang w:val="vi-VN"/>
        </w:rPr>
        <w:t>bảo hi</w:t>
      </w:r>
      <w:r w:rsidRPr="003F6EAD">
        <w:rPr>
          <w:rFonts w:eastAsiaTheme="minorHAnsi"/>
          <w:iCs/>
          <w:color w:val="000000"/>
          <w:shd w:val="clear" w:color="auto" w:fill="FFFFFF"/>
        </w:rPr>
        <w:t>ể</w:t>
      </w:r>
      <w:r w:rsidRPr="003F6EAD">
        <w:rPr>
          <w:rFonts w:eastAsiaTheme="minorHAnsi"/>
          <w:iCs/>
          <w:color w:val="000000"/>
          <w:shd w:val="clear" w:color="auto" w:fill="FFFFFF"/>
          <w:lang w:val="vi-VN"/>
        </w:rPr>
        <w:t>m xã hội, bảo hiểm thất nghiệp, bảo hiểm y tế giai đoạn 20</w:t>
      </w:r>
      <w:r w:rsidRPr="003F6EAD">
        <w:rPr>
          <w:rFonts w:eastAsiaTheme="minorHAnsi"/>
          <w:iCs/>
          <w:color w:val="000000"/>
          <w:shd w:val="clear" w:color="auto" w:fill="FFFFFF"/>
        </w:rPr>
        <w:t>1</w:t>
      </w:r>
      <w:r w:rsidRPr="003F6EAD">
        <w:rPr>
          <w:rFonts w:eastAsiaTheme="minorHAnsi"/>
          <w:iCs/>
          <w:color w:val="000000"/>
          <w:shd w:val="clear" w:color="auto" w:fill="FFFFFF"/>
          <w:lang w:val="vi-VN"/>
        </w:rPr>
        <w:t>6-2018</w:t>
      </w:r>
      <w:r w:rsidRPr="003F6EAD">
        <w:rPr>
          <w:rFonts w:eastAsiaTheme="minorHAnsi"/>
          <w:iCs/>
          <w:color w:val="000000"/>
          <w:shd w:val="clear" w:color="auto" w:fill="FFFFFF"/>
        </w:rPr>
        <w:t xml:space="preserve">, trong đó : </w:t>
      </w:r>
      <w:r w:rsidRPr="003F6EAD">
        <w:rPr>
          <w:rFonts w:eastAsiaTheme="minorHAnsi"/>
          <w:color w:val="000000"/>
          <w:lang w:val="vi-VN"/>
        </w:rPr>
        <w:t>Mức chi phí quản </w:t>
      </w:r>
      <w:r w:rsidRPr="003F6EAD">
        <w:rPr>
          <w:rFonts w:eastAsiaTheme="minorHAnsi"/>
          <w:color w:val="000000"/>
        </w:rPr>
        <w:t>l</w:t>
      </w:r>
      <w:r w:rsidRPr="003F6EAD">
        <w:rPr>
          <w:rFonts w:eastAsiaTheme="minorHAnsi"/>
          <w:color w:val="000000"/>
          <w:lang w:val="vi-VN"/>
        </w:rPr>
        <w:t xml:space="preserve">ý bảo hiểm xã hội bằng 2,3% dự toán thu, chi bảo hiểm xã hội (trừ số chi đóng bảo hiểm y tế cho người hưởng bảo hiểm xã hội), được trích từ tiền sinh lời của hoạt động đầu tư </w:t>
      </w:r>
      <w:r w:rsidRPr="003F6EAD">
        <w:rPr>
          <w:rFonts w:eastAsiaTheme="minorHAnsi"/>
          <w:color w:val="000000"/>
          <w:lang w:val="vi-VN"/>
        </w:rPr>
        <w:lastRenderedPageBreak/>
        <w:t>từ quỹ bảo hiểm xã hội</w:t>
      </w:r>
      <w:r w:rsidRPr="003F6EAD">
        <w:rPr>
          <w:rFonts w:eastAsiaTheme="minorHAnsi"/>
          <w:color w:val="000000"/>
        </w:rPr>
        <w:t>; m</w:t>
      </w:r>
      <w:r w:rsidRPr="003F6EAD">
        <w:rPr>
          <w:rFonts w:eastAsiaTheme="minorHAnsi"/>
          <w:color w:val="000000"/>
          <w:lang w:val="vi-VN"/>
        </w:rPr>
        <w:t>ức chi phí quản lý bảo hiểm thất nghiệp bằng 2,3% dự toán thu, chi bảo hiểm thất nghiệp (trừ số chi đóng bảo hiểm y tế cho người hưởng </w:t>
      </w:r>
      <w:r w:rsidRPr="003F6EAD">
        <w:rPr>
          <w:rFonts w:eastAsiaTheme="minorHAnsi"/>
          <w:color w:val="000000"/>
        </w:rPr>
        <w:t>tr</w:t>
      </w:r>
      <w:r w:rsidRPr="003F6EAD">
        <w:rPr>
          <w:rFonts w:eastAsiaTheme="minorHAnsi"/>
          <w:color w:val="000000"/>
          <w:lang w:val="vi-VN"/>
        </w:rPr>
        <w:t>ợ cấp thất nghiệp), được trích từ quỹ bảo hiểm thất nghiệp</w:t>
      </w:r>
      <w:r w:rsidRPr="003F6EAD">
        <w:rPr>
          <w:rFonts w:eastAsiaTheme="minorHAnsi"/>
          <w:color w:val="000000"/>
        </w:rPr>
        <w:t>; m</w:t>
      </w:r>
      <w:r w:rsidRPr="003F6EAD">
        <w:rPr>
          <w:rFonts w:eastAsiaTheme="minorHAnsi"/>
          <w:color w:val="000000"/>
          <w:lang w:val="vi-VN"/>
        </w:rPr>
        <w:t>ức chi phí quản lý bảo hiểm y tế bằng 5% dự toán thu tiền đóng bảo hiểm y tế, được trích từ khoản 10% số tiền đóng bảo hiểm y tế dành cho quỹ dự phòng và chi phí quản lý quỹ bảo hiểm y tế.</w:t>
      </w:r>
    </w:p>
    <w:p w:rsidR="001E710D" w:rsidRPr="003F6EAD" w:rsidRDefault="001E710D" w:rsidP="00A3131C">
      <w:pPr>
        <w:shd w:val="clear" w:color="auto" w:fill="FFFFFF"/>
        <w:spacing w:before="100" w:after="100"/>
        <w:jc w:val="both"/>
        <w:rPr>
          <w:i/>
          <w:color w:val="000000"/>
        </w:rPr>
      </w:pPr>
      <w:r w:rsidRPr="003F6EAD">
        <w:rPr>
          <w:color w:val="000000"/>
        </w:rPr>
        <w:tab/>
        <w:t xml:space="preserve">Mặt khác thi hành quy định tại khoản 3 Điều 90 luật BHXH năm 2014, </w:t>
      </w:r>
      <w:r w:rsidRPr="003F6EAD">
        <w:rPr>
          <w:iCs/>
          <w:color w:val="000000" w:themeColor="text1"/>
          <w:shd w:val="clear" w:color="auto" w:fill="FFFFFF"/>
        </w:rPr>
        <w:t xml:space="preserve">Thủ tướng Chính phủ đã ban hành Quyết định số </w:t>
      </w:r>
      <w:r w:rsidRPr="003F6EAD">
        <w:rPr>
          <w:color w:val="000000"/>
          <w:shd w:val="clear" w:color="auto" w:fill="FFFFFF"/>
        </w:rPr>
        <w:t xml:space="preserve">60/2015/QĐ-TTg ngày 27/11/2015 </w:t>
      </w:r>
      <w:r w:rsidRPr="003F6EAD">
        <w:rPr>
          <w:iCs/>
          <w:color w:val="000000"/>
          <w:shd w:val="clear" w:color="auto" w:fill="FFFFFF"/>
          <w:lang w:val="vi-VN"/>
        </w:rPr>
        <w:t>cơ chế quản lý tài chính về bảo hiểm xã hội, bảo hiểm y tế, bảo hiểm thất nghiệp và chi phí quản lý b</w:t>
      </w:r>
      <w:r w:rsidRPr="003F6EAD">
        <w:rPr>
          <w:iCs/>
          <w:color w:val="000000"/>
          <w:shd w:val="clear" w:color="auto" w:fill="FFFFFF"/>
        </w:rPr>
        <w:t>ả</w:t>
      </w:r>
      <w:r w:rsidRPr="003F6EAD">
        <w:rPr>
          <w:iCs/>
          <w:color w:val="000000"/>
          <w:shd w:val="clear" w:color="auto" w:fill="FFFFFF"/>
          <w:lang w:val="vi-VN"/>
        </w:rPr>
        <w:t>o hiểm xã hội, bảo hiểm</w:t>
      </w:r>
      <w:r w:rsidRPr="003F6EAD">
        <w:rPr>
          <w:iCs/>
          <w:color w:val="000000"/>
          <w:lang w:val="vi-VN"/>
        </w:rPr>
        <w:t> </w:t>
      </w:r>
      <w:r w:rsidRPr="003F6EAD">
        <w:rPr>
          <w:iCs/>
          <w:color w:val="000000"/>
          <w:shd w:val="clear" w:color="auto" w:fill="FFFFFF"/>
          <w:lang w:val="vi-VN"/>
        </w:rPr>
        <w:t>y tế, bảo hiểm thất nghiệp</w:t>
      </w:r>
      <w:r w:rsidRPr="003F6EAD">
        <w:rPr>
          <w:iCs/>
          <w:color w:val="000000"/>
          <w:shd w:val="clear" w:color="auto" w:fill="FFFFFF"/>
        </w:rPr>
        <w:t xml:space="preserve">, trong đó quy định chi tiết nội dung chi quản lý . Riêng công tác thanh tra, kiểm tra, giám sát tại khoản 6 Điều 9 quy định các nội dung chi, gồm: </w:t>
      </w:r>
      <w:r w:rsidRPr="003F6EAD">
        <w:rPr>
          <w:i/>
          <w:iCs/>
          <w:color w:val="000000"/>
          <w:shd w:val="clear" w:color="auto" w:fill="FFFFFF"/>
        </w:rPr>
        <w:t>"</w:t>
      </w:r>
      <w:r w:rsidRPr="003F6EAD">
        <w:rPr>
          <w:i/>
          <w:color w:val="000000"/>
          <w:lang w:val="vi-VN"/>
        </w:rPr>
        <w:t>Chi trang phục thanh tra, chế độ bồi dưỡng đối với người được giao thực hiện nhiệm vụ thanh tra về đóng bảo hiểm xã hội, bảo hiểm y tế, bảo hiểm thất nghiệp theo chế độ do Nhà nước quy định;</w:t>
      </w:r>
      <w:r w:rsidRPr="003F6EAD">
        <w:rPr>
          <w:i/>
          <w:color w:val="000000"/>
        </w:rPr>
        <w:t xml:space="preserve"> c</w:t>
      </w:r>
      <w:r w:rsidRPr="003F6EAD">
        <w:rPr>
          <w:i/>
          <w:color w:val="000000"/>
          <w:lang w:val="vi-VN"/>
        </w:rPr>
        <w:t>hi hỗ trợ động viên, khuyến khích tập thể, cá nhân ngoài ngành Bảo hiểm xã hội phối hợp trong công tác thanh tra, kiểm tra, giám sát và đôn đốc thu hồi đối với các trường hợp trốn đóng, chậm đóng, chiếm dụng tiền đóng, hưởng bảo hiểm xã hội, bảo hiểm y tế, bảo hiểm thất nghiệp;</w:t>
      </w:r>
      <w:r w:rsidRPr="003F6EAD">
        <w:rPr>
          <w:i/>
          <w:color w:val="000000"/>
        </w:rPr>
        <w:t xml:space="preserve"> c</w:t>
      </w:r>
      <w:r w:rsidRPr="003F6EAD">
        <w:rPr>
          <w:i/>
          <w:color w:val="000000"/>
          <w:lang w:val="vi-VN"/>
        </w:rPr>
        <w:t>hi phí phục vụ công tác thanh tra, kiểm tra, giám sát và các hoạt động phối hợp trong thanh tra, </w:t>
      </w:r>
      <w:r w:rsidRPr="003F6EAD">
        <w:rPr>
          <w:i/>
          <w:color w:val="000000"/>
          <w:shd w:val="clear" w:color="auto" w:fill="FFFFFF"/>
          <w:lang w:val="vi-VN"/>
        </w:rPr>
        <w:t>kiểm tra</w:t>
      </w:r>
      <w:r w:rsidRPr="003F6EAD">
        <w:rPr>
          <w:i/>
          <w:color w:val="000000"/>
          <w:lang w:val="vi-VN"/>
        </w:rPr>
        <w:t>, giám sát gồm: Hỗ trợ công tác phối hợp chỉ đạo, chế độ công tác phí, làm đêm, thêm giờ, chi phí xăng xe hoặc thuê phương tiện phục vụ công tác thanh tra, kiểm tra, giám sát</w:t>
      </w:r>
      <w:r w:rsidRPr="003F6EAD">
        <w:rPr>
          <w:i/>
          <w:color w:val="000000"/>
        </w:rPr>
        <w:t>".</w:t>
      </w:r>
    </w:p>
    <w:p w:rsidR="001E710D" w:rsidRPr="003F6EAD" w:rsidRDefault="001E710D" w:rsidP="00A3131C">
      <w:pPr>
        <w:shd w:val="clear" w:color="auto" w:fill="FFFFFF"/>
        <w:spacing w:before="100" w:after="100"/>
        <w:jc w:val="both"/>
        <w:rPr>
          <w:i/>
          <w:color w:val="000000"/>
        </w:rPr>
      </w:pPr>
      <w:r w:rsidRPr="003F6EAD">
        <w:rPr>
          <w:i/>
          <w:color w:val="000000"/>
        </w:rPr>
        <w:tab/>
      </w:r>
      <w:r w:rsidRPr="003F6EAD">
        <w:rPr>
          <w:color w:val="000000"/>
        </w:rPr>
        <w:t xml:space="preserve">Theo đó, nội dung chi phí quản lý và mức chi quản lý BHXH , BHTN, BHYT quy định tại các văn bản nêu trên về cơ bản đã đầy đủ các hoạt động, trong đó có </w:t>
      </w:r>
      <w:r>
        <w:rPr>
          <w:color w:val="000000"/>
        </w:rPr>
        <w:t>c</w:t>
      </w:r>
      <w:r w:rsidRPr="003F6EAD">
        <w:rPr>
          <w:color w:val="000000"/>
        </w:rPr>
        <w:t xml:space="preserve">hi phí cho các hoạt động thanh tra về đóng </w:t>
      </w:r>
      <w:r>
        <w:rPr>
          <w:rFonts w:eastAsiaTheme="minorHAnsi"/>
          <w:color w:val="000000" w:themeColor="text1"/>
          <w:shd w:val="clear" w:color="auto" w:fill="FFFFFF"/>
        </w:rPr>
        <w:t>bảo hiểm xã hội, bảo hiểm thất nghiệp</w:t>
      </w:r>
      <w:r>
        <w:rPr>
          <w:color w:val="000000"/>
        </w:rPr>
        <w:t>, bảo hiểm y tế</w:t>
      </w:r>
      <w:r w:rsidRPr="003F6EAD">
        <w:rPr>
          <w:color w:val="000000"/>
        </w:rPr>
        <w:t xml:space="preserve"> của cơ quan BHXH</w:t>
      </w:r>
      <w:r w:rsidRPr="003F6EAD">
        <w:rPr>
          <w:i/>
          <w:color w:val="000000"/>
        </w:rPr>
        <w:t>.</w:t>
      </w:r>
    </w:p>
    <w:p w:rsidR="001E710D" w:rsidRDefault="001E710D" w:rsidP="00A3131C">
      <w:pPr>
        <w:spacing w:before="100" w:after="100"/>
        <w:ind w:firstLine="720"/>
        <w:jc w:val="both"/>
        <w:rPr>
          <w:color w:val="000000"/>
          <w:spacing w:val="-4"/>
        </w:rPr>
      </w:pPr>
      <w:r>
        <w:rPr>
          <w:color w:val="000000"/>
          <w:spacing w:val="-4"/>
        </w:rPr>
        <w:t xml:space="preserve">Chính vì vậy, Bộ Lao động - Thương binh và Xã hội thấy cần thiết đề nghị Chính phủ cho xây dựng  </w:t>
      </w:r>
      <w:r>
        <w:t>Nghị định sửa đổi Điều 12</w:t>
      </w:r>
      <w:r w:rsidRPr="00F667CC">
        <w:t xml:space="preserve"> Nghị định số 21/2016/NĐ-CP ngày 31 tháng 3 năm 2016 quy định việc thực hiện chức năng thanh tra chuyên ngành về đóng bảo hiểm xã hội, bảo hiểm thất nghiệp và bảo hiểm y tế của cơ quan Bảo hiểm xã hội</w:t>
      </w:r>
      <w:r>
        <w:rPr>
          <w:bCs/>
          <w:color w:val="000000"/>
          <w:sz w:val="26"/>
          <w:lang w:val="nl-NL"/>
        </w:rPr>
        <w:t>.</w:t>
      </w:r>
    </w:p>
    <w:p w:rsidR="001E710D" w:rsidRDefault="001E710D" w:rsidP="00A3131C">
      <w:pPr>
        <w:spacing w:before="100" w:after="100"/>
        <w:jc w:val="both"/>
        <w:rPr>
          <w:rFonts w:ascii="Times New Roman Bold" w:hAnsi="Times New Roman Bold"/>
          <w:b/>
          <w:spacing w:val="-2"/>
          <w:sz w:val="26"/>
          <w:lang w:val="nl-NL"/>
        </w:rPr>
      </w:pPr>
      <w:r>
        <w:rPr>
          <w:color w:val="000000"/>
          <w:spacing w:val="-4"/>
        </w:rPr>
        <w:tab/>
      </w:r>
      <w:r w:rsidRPr="004737BC">
        <w:rPr>
          <w:rFonts w:ascii="Times New Roman Bold" w:hAnsi="Times New Roman Bold"/>
          <w:b/>
          <w:spacing w:val="-2"/>
          <w:sz w:val="26"/>
          <w:lang w:val="nl-NL"/>
        </w:rPr>
        <w:t xml:space="preserve">II. </w:t>
      </w:r>
      <w:r>
        <w:rPr>
          <w:rFonts w:ascii="Times New Roman Bold" w:hAnsi="Times New Roman Bold"/>
          <w:b/>
          <w:spacing w:val="-2"/>
          <w:sz w:val="26"/>
          <w:lang w:val="nl-NL"/>
        </w:rPr>
        <w:t xml:space="preserve">MỤC ĐÍCH, </w:t>
      </w:r>
      <w:r w:rsidRPr="004737BC">
        <w:rPr>
          <w:rFonts w:ascii="Times New Roman Bold" w:hAnsi="Times New Roman Bold"/>
          <w:b/>
          <w:spacing w:val="-2"/>
          <w:sz w:val="26"/>
          <w:lang w:val="nl-NL"/>
        </w:rPr>
        <w:t xml:space="preserve">QUAN ĐIỂM XÂY DỰNG NGHỊ ĐỊNH </w:t>
      </w:r>
    </w:p>
    <w:p w:rsidR="001E710D" w:rsidRPr="00497F09" w:rsidRDefault="001E710D" w:rsidP="00A3131C">
      <w:pPr>
        <w:spacing w:before="100" w:after="100"/>
        <w:rPr>
          <w:b/>
        </w:rPr>
      </w:pPr>
      <w:r w:rsidRPr="00497F09">
        <w:rPr>
          <w:b/>
        </w:rPr>
        <w:tab/>
        <w:t>1. Mục đích xây dựng Nghị định</w:t>
      </w:r>
    </w:p>
    <w:p w:rsidR="001E710D" w:rsidRDefault="001E710D" w:rsidP="00A3131C">
      <w:pPr>
        <w:spacing w:before="100" w:after="100"/>
        <w:jc w:val="both"/>
      </w:pPr>
      <w:r>
        <w:tab/>
        <w:t>Việc xây dựng Nghị định sửa đổi Điều 12</w:t>
      </w:r>
      <w:r w:rsidRPr="00F667CC">
        <w:t xml:space="preserve"> Nghị định số 21/2016/NĐ-CP ngày 31 tháng 3 năm 2016 </w:t>
      </w:r>
      <w:r>
        <w:t xml:space="preserve">của Chính phủ </w:t>
      </w:r>
      <w:r w:rsidRPr="00F667CC">
        <w:t>quy định việc thực hiện chức năng thanh tra chuyên ngành về đóng bảo hiểm xã hội, bảo hiểm thất nghiệp và bảo hiểm y tế của cơ quan Bảo hiểm xã hội</w:t>
      </w:r>
      <w:r w:rsidRPr="00F667CC">
        <w:rPr>
          <w:bCs/>
          <w:color w:val="000000"/>
          <w:lang w:val="nl-NL"/>
        </w:rPr>
        <w:t xml:space="preserve"> </w:t>
      </w:r>
      <w:r w:rsidRPr="007375A4">
        <w:t xml:space="preserve">phù hợp với các văn  bản quy phạm pháp luật và </w:t>
      </w:r>
      <w:r>
        <w:t xml:space="preserve">phù hợp </w:t>
      </w:r>
      <w:r w:rsidRPr="007375A4">
        <w:t xml:space="preserve">với đặc điểm, tính chất và những đặc thù </w:t>
      </w:r>
      <w:r>
        <w:t>trong công tác thanh tra chuyên ngành về lĩnh vực bảo hiểm xã hội, bảo hiểm thất nghiệp và bảo hiểm y tế của các cơ quan có liên quan.</w:t>
      </w:r>
    </w:p>
    <w:p w:rsidR="001E710D" w:rsidRPr="00497F09" w:rsidRDefault="001E710D" w:rsidP="00A3131C">
      <w:pPr>
        <w:spacing w:before="100" w:after="100"/>
        <w:rPr>
          <w:b/>
          <w:spacing w:val="-8"/>
          <w:lang w:val="nl-NL"/>
        </w:rPr>
      </w:pPr>
      <w:r w:rsidRPr="00497F09">
        <w:rPr>
          <w:b/>
        </w:rPr>
        <w:tab/>
      </w:r>
      <w:r w:rsidRPr="00497F09">
        <w:rPr>
          <w:b/>
          <w:spacing w:val="-8"/>
          <w:lang w:val="nl-NL"/>
        </w:rPr>
        <w:t>2. Quan điểm xây dựng Nghị định</w:t>
      </w:r>
    </w:p>
    <w:p w:rsidR="00A3131C" w:rsidRDefault="001E710D" w:rsidP="00A3131C">
      <w:pPr>
        <w:spacing w:before="100" w:after="100"/>
        <w:ind w:firstLine="567"/>
        <w:jc w:val="both"/>
        <w:rPr>
          <w:spacing w:val="-8"/>
          <w:lang w:val="nl-NL"/>
        </w:rPr>
      </w:pPr>
      <w:r w:rsidRPr="004737BC">
        <w:rPr>
          <w:spacing w:val="-8"/>
          <w:lang w:val="nl-NL"/>
        </w:rPr>
        <w:t>Việc xây dựng Nghị định</w:t>
      </w:r>
      <w:r>
        <w:rPr>
          <w:spacing w:val="-8"/>
          <w:lang w:val="nl-NL"/>
        </w:rPr>
        <w:t xml:space="preserve"> thực hiện trên những quan điểm</w:t>
      </w:r>
      <w:r w:rsidRPr="004737BC">
        <w:rPr>
          <w:spacing w:val="-8"/>
          <w:lang w:val="nl-NL"/>
        </w:rPr>
        <w:t xml:space="preserve"> sau:</w:t>
      </w:r>
    </w:p>
    <w:p w:rsidR="001E710D" w:rsidRPr="004737BC" w:rsidRDefault="001E710D" w:rsidP="00A3131C">
      <w:pPr>
        <w:spacing w:before="100" w:after="100"/>
        <w:ind w:firstLine="567"/>
        <w:jc w:val="both"/>
        <w:rPr>
          <w:lang w:val="nl-NL"/>
        </w:rPr>
      </w:pPr>
      <w:r>
        <w:rPr>
          <w:lang w:val="nl-NL"/>
        </w:rPr>
        <w:lastRenderedPageBreak/>
        <w:t>-</w:t>
      </w:r>
      <w:r w:rsidRPr="004737BC">
        <w:rPr>
          <w:lang w:val="nl-NL"/>
        </w:rPr>
        <w:t xml:space="preserve"> Bảo đảm tính hợp hiến, hợp pháp; bảo đảm tính thống nhất, đồng bộ với các văn bản quy phạm pháp luật hiện hành liên quan đến tổ chức và hoạt động thanh tra chuyên ngành.</w:t>
      </w:r>
    </w:p>
    <w:p w:rsidR="001E710D" w:rsidRDefault="001E710D" w:rsidP="00A3131C">
      <w:pPr>
        <w:spacing w:before="100" w:after="100"/>
        <w:ind w:firstLine="567"/>
        <w:jc w:val="both"/>
        <w:rPr>
          <w:lang w:val="nl-NL"/>
        </w:rPr>
      </w:pPr>
      <w:r>
        <w:rPr>
          <w:lang w:val="nl-NL"/>
        </w:rPr>
        <w:t>-</w:t>
      </w:r>
      <w:r w:rsidRPr="004737BC">
        <w:rPr>
          <w:lang w:val="nl-NL"/>
        </w:rPr>
        <w:t xml:space="preserve"> Bảo đảm tính khả thi của Nghị định, phù hợp với điều kiện thực tế</w:t>
      </w:r>
      <w:r>
        <w:rPr>
          <w:lang w:val="nl-NL"/>
        </w:rPr>
        <w:t>, nâng cao hiệu lực, hiệu quả công tác thanh tra; cải cách hành chính và tinh giản thủ tục tiến hành thanh tra.</w:t>
      </w:r>
    </w:p>
    <w:p w:rsidR="001E710D" w:rsidRPr="00B5154A" w:rsidRDefault="001E710D" w:rsidP="00A3131C">
      <w:pPr>
        <w:spacing w:before="100" w:after="100"/>
        <w:ind w:firstLine="567"/>
        <w:jc w:val="both"/>
        <w:rPr>
          <w:lang w:val="af-ZA"/>
        </w:rPr>
      </w:pPr>
      <w:r>
        <w:rPr>
          <w:lang w:val="nl-NL"/>
        </w:rPr>
        <w:t>- B</w:t>
      </w:r>
      <w:r w:rsidRPr="004737BC">
        <w:rPr>
          <w:lang w:val="nl-NL"/>
        </w:rPr>
        <w:t>ảo vệ quyền và lợi ích hợp pháp</w:t>
      </w:r>
      <w:r>
        <w:rPr>
          <w:lang w:val="nl-NL"/>
        </w:rPr>
        <w:t xml:space="preserve"> và không gây phiền hà cho</w:t>
      </w:r>
      <w:r w:rsidRPr="004737BC">
        <w:rPr>
          <w:lang w:val="nl-NL"/>
        </w:rPr>
        <w:t xml:space="preserve"> các </w:t>
      </w:r>
      <w:r>
        <w:rPr>
          <w:lang w:val="af-ZA"/>
        </w:rPr>
        <w:t>đối tượng quản lý của ngành Lao động - Thương binh và Xã hội, ngành y tế và Bảo hiểm xã hội Việt Nam.</w:t>
      </w:r>
    </w:p>
    <w:p w:rsidR="001E710D" w:rsidRPr="00BD3F1E" w:rsidRDefault="001E710D" w:rsidP="00A3131C">
      <w:pPr>
        <w:spacing w:before="100" w:after="100"/>
        <w:ind w:firstLine="567"/>
        <w:jc w:val="both"/>
        <w:rPr>
          <w:b/>
          <w:sz w:val="26"/>
          <w:lang w:val="af-ZA"/>
        </w:rPr>
      </w:pPr>
      <w:r w:rsidRPr="00BD3F1E">
        <w:rPr>
          <w:b/>
          <w:sz w:val="26"/>
          <w:lang w:val="af-ZA"/>
        </w:rPr>
        <w:t>III. QUÁ TRÌNH XÂY DỰNG DỰ THẢO NGHỊ ĐỊNH</w:t>
      </w:r>
    </w:p>
    <w:p w:rsidR="001E710D" w:rsidRDefault="00A3131C" w:rsidP="00A3131C">
      <w:pPr>
        <w:spacing w:before="100" w:after="100"/>
        <w:ind w:firstLine="567"/>
        <w:jc w:val="both"/>
      </w:pPr>
      <w:r>
        <w:t>Ngày 15/11/2016, Bộ Lao động -</w:t>
      </w:r>
      <w:r w:rsidR="001E710D">
        <w:t xml:space="preserve"> Thương binh và Xã hội nhận được công văn số 16075/BTC-HCSN của Bộ Tài chính về việc dự thảo báo cáo thực hiện ý kiến chỉ đạo của Thủ tướng Chính phủ tại Công văn số 4568/VPCP-TCCV về việc hướng dẫn khoản 2, Điều 12</w:t>
      </w:r>
      <w:r w:rsidR="001E710D" w:rsidRPr="00D85651">
        <w:t xml:space="preserve"> </w:t>
      </w:r>
      <w:r w:rsidR="001E710D">
        <w:t xml:space="preserve">Nghị định số 21/2016/NĐ-CP quy định về trích nộp kinh phí từ khoản phạt lãi chậm nộp bảo hiểm xã hội, bảo hiểm thất nghiệp, bảo hiểm y tế. </w:t>
      </w:r>
    </w:p>
    <w:p w:rsidR="001E710D" w:rsidRDefault="00A3131C" w:rsidP="00A3131C">
      <w:pPr>
        <w:spacing w:before="100" w:after="100"/>
        <w:ind w:firstLine="720"/>
        <w:jc w:val="both"/>
      </w:pPr>
      <w:r>
        <w:t>Ngày 29/11/2016, Bộ Lao động -</w:t>
      </w:r>
      <w:r w:rsidR="001E710D">
        <w:t xml:space="preserve"> Thương binh và Xã hội có công văn số 4778/LĐTBXH-TTr đồng ý với Bộ Tài chính về phương án trình </w:t>
      </w:r>
      <w:r>
        <w:t>Chính phủ giao cho Bộ Lao động -</w:t>
      </w:r>
      <w:r w:rsidR="001E710D">
        <w:t xml:space="preserve"> Thương binh và Xã hội trình Chính phủ Dự thảo Nghị định sửa đổi Nghị định số 21/2016/NĐ-CP theo hướng bãi bỏ khoản 2, Điều 12. </w:t>
      </w:r>
    </w:p>
    <w:p w:rsidR="001E710D" w:rsidRDefault="001E710D" w:rsidP="00A3131C">
      <w:pPr>
        <w:spacing w:before="100" w:after="100"/>
        <w:ind w:right="57" w:firstLine="567"/>
        <w:jc w:val="both"/>
        <w:rPr>
          <w:lang w:val="af-ZA"/>
        </w:rPr>
      </w:pPr>
      <w:r>
        <w:rPr>
          <w:lang w:val="pt-BR"/>
        </w:rPr>
        <w:t>Thực hiện c</w:t>
      </w:r>
      <w:r w:rsidRPr="00F667CC">
        <w:rPr>
          <w:lang w:val="pt-BR"/>
        </w:rPr>
        <w:t>ông văn</w:t>
      </w:r>
      <w:r>
        <w:rPr>
          <w:lang w:val="pt-BR"/>
        </w:rPr>
        <w:t xml:space="preserve"> số 996/VPCP-TCCV ngày 08/02/</w:t>
      </w:r>
      <w:r w:rsidRPr="00F667CC">
        <w:rPr>
          <w:lang w:val="pt-BR"/>
        </w:rPr>
        <w:t xml:space="preserve">2017 của Văn phòng Chính phủ về việc đề nghị Bộ Lao động - Thương binh và Xã hội trình Chính phủ </w:t>
      </w:r>
      <w:r w:rsidRPr="00F667CC">
        <w:t>Dự</w:t>
      </w:r>
      <w:r>
        <w:t xml:space="preserve"> thảo Nghị định sửa đổi</w:t>
      </w:r>
      <w:r w:rsidRPr="00F667CC">
        <w:t xml:space="preserve"> </w:t>
      </w:r>
      <w:r>
        <w:t xml:space="preserve">Điều 12 </w:t>
      </w:r>
      <w:r w:rsidRPr="00F667CC">
        <w:t>Nghị định số 21/2016/NĐ-CP ngày 31 tháng 3 năm 2016 quy định việc thực hiện chức năng thanh tra chuyên ngành về đóng bảo hiểm xã hội, bảo hiểm thất nghiệp và bảo hiểm y tế của cơ quan Bảo hiểm xã hội</w:t>
      </w:r>
      <w:r>
        <w:t xml:space="preserve">, </w:t>
      </w:r>
      <w:r w:rsidRPr="00F667CC">
        <w:rPr>
          <w:lang w:val="pt-BR"/>
        </w:rPr>
        <w:t>Bộ Lao động - Thương binh và Xã hội</w:t>
      </w:r>
      <w:r>
        <w:rPr>
          <w:lang w:val="af-ZA"/>
        </w:rPr>
        <w:t xml:space="preserve"> đã xây dựng Dự thảo</w:t>
      </w:r>
      <w:r w:rsidRPr="00D80F7B">
        <w:t xml:space="preserve"> </w:t>
      </w:r>
      <w:r>
        <w:t>Nghị định sửa đổi Điều 12</w:t>
      </w:r>
      <w:r w:rsidRPr="00F667CC">
        <w:t xml:space="preserve"> Nghị định số 21/2016/NĐ-CP ngày 31 tháng 3 năm 2016</w:t>
      </w:r>
      <w:r>
        <w:rPr>
          <w:lang w:val="af-ZA"/>
        </w:rPr>
        <w:t>.</w:t>
      </w:r>
    </w:p>
    <w:p w:rsidR="00FF50D2" w:rsidRDefault="00FF50D2" w:rsidP="00A3131C">
      <w:pPr>
        <w:spacing w:before="100" w:after="100"/>
        <w:ind w:firstLine="567"/>
        <w:jc w:val="both"/>
      </w:pPr>
      <w:r>
        <w:t>Ngày 16/5/2017, hoàn thiện dự thảo Nghị định và</w:t>
      </w:r>
      <w:r w:rsidRPr="00FF50D2">
        <w:t xml:space="preserve"> </w:t>
      </w:r>
      <w:r w:rsidR="00A3131C">
        <w:t>Bộ Lao động -</w:t>
      </w:r>
      <w:r>
        <w:t xml:space="preserve"> Thương binh và Xã hội có công văn số 1877/LĐTBXH-TTr gửi xin ý kiến các Bộ, Ban, Ngành, Sở Lao động- Thương binh và Xã hội các tỉnh, thành phố trực thuộc Trung ương; đăng trên cổng thông tin điện tử của Chính phủ, của Bộ Lao động - Thương binh và Xã hội và Trang thông tin điện tử của Thanh tra Bộ Lao động - Thương binh và Xã hội để lấy ý kiến rộng rãi trong toàn xã hội. </w:t>
      </w:r>
    </w:p>
    <w:p w:rsidR="00FF50D2" w:rsidRPr="001E5C3F" w:rsidRDefault="00FF50D2" w:rsidP="00A3131C">
      <w:pPr>
        <w:spacing w:before="100" w:after="100"/>
        <w:ind w:firstLine="567"/>
        <w:jc w:val="both"/>
      </w:pPr>
      <w:r w:rsidRPr="001E5C3F">
        <w:t>Kết quả đã nhận được 63 ý kiến góp ý của 25 Bộ, Ngành, trong đó tất cả đều đồng ý với với nội dung dự thảo (0</w:t>
      </w:r>
      <w:r w:rsidR="00831038">
        <w:t>6</w:t>
      </w:r>
      <w:r w:rsidRPr="001E5C3F">
        <w:t xml:space="preserve"> Bộ, ngành có ý kiến góp ý về thể thức văn bản); </w:t>
      </w:r>
      <w:r w:rsidR="00831038">
        <w:t>06 ý kiến củ</w:t>
      </w:r>
      <w:r w:rsidR="00A3131C">
        <w:t>a các đơn vị thuộc Bộ Lao động -</w:t>
      </w:r>
      <w:r w:rsidR="00831038">
        <w:t xml:space="preserve"> Thương binh và Xã hội và </w:t>
      </w:r>
      <w:r w:rsidRPr="001E5C3F">
        <w:t>3</w:t>
      </w:r>
      <w:r w:rsidR="00FF1BC0">
        <w:t>3</w:t>
      </w:r>
      <w:r w:rsidRPr="001E5C3F">
        <w:t xml:space="preserve"> ý kiến góp ý của 3</w:t>
      </w:r>
      <w:r w:rsidR="00FF1BC0">
        <w:t>3</w:t>
      </w:r>
      <w:r w:rsidRPr="001E5C3F">
        <w:t xml:space="preserve"> Sở Lao động</w:t>
      </w:r>
      <w:r w:rsidR="00A3131C">
        <w:t xml:space="preserve"> </w:t>
      </w:r>
      <w:r w:rsidRPr="001E5C3F">
        <w:t>- Thương binh và Xã hội tỉnh, thành phố, đều hoàn toàn đồng ý với nội dung dự thảo. Tổ soạn thảo đã nghiên cứu, tiếp thu, chỉnh lý và hoàn thiện dự thảo.</w:t>
      </w:r>
    </w:p>
    <w:p w:rsidR="001E710D" w:rsidRPr="001E5C3F" w:rsidRDefault="001E710D" w:rsidP="00A3131C">
      <w:pPr>
        <w:spacing w:before="100" w:after="100"/>
        <w:ind w:firstLine="567"/>
        <w:jc w:val="both"/>
        <w:rPr>
          <w:rFonts w:ascii="Times New Roman Bold" w:hAnsi="Times New Roman Bold"/>
          <w:b/>
          <w:spacing w:val="-6"/>
          <w:sz w:val="26"/>
          <w:lang w:val="af-ZA"/>
        </w:rPr>
      </w:pPr>
      <w:r w:rsidRPr="001E5C3F">
        <w:rPr>
          <w:rFonts w:ascii="Times New Roman Bold" w:hAnsi="Times New Roman Bold"/>
          <w:b/>
          <w:spacing w:val="-6"/>
          <w:sz w:val="26"/>
          <w:lang w:val="af-ZA"/>
        </w:rPr>
        <w:t xml:space="preserve">IV. NỘI DUNG CƠ BẢN CỦA DỰ THẢO NGHỊ ĐỊNH </w:t>
      </w:r>
    </w:p>
    <w:p w:rsidR="001E710D" w:rsidRPr="001E5C3F" w:rsidRDefault="001E710D" w:rsidP="00A3131C">
      <w:pPr>
        <w:spacing w:before="100" w:after="100"/>
        <w:ind w:right="57" w:firstLine="567"/>
        <w:jc w:val="both"/>
        <w:rPr>
          <w:b/>
          <w:lang w:val="af-ZA"/>
        </w:rPr>
      </w:pPr>
      <w:r w:rsidRPr="001E5C3F">
        <w:rPr>
          <w:b/>
          <w:lang w:val="af-ZA"/>
        </w:rPr>
        <w:t>1. Về bố cục Dự thảo Nghị định</w:t>
      </w:r>
    </w:p>
    <w:p w:rsidR="001E710D" w:rsidRPr="001E5C3F" w:rsidRDefault="001E710D" w:rsidP="00A3131C">
      <w:pPr>
        <w:spacing w:before="100" w:after="100"/>
        <w:ind w:right="57" w:firstLine="567"/>
        <w:jc w:val="both"/>
        <w:rPr>
          <w:spacing w:val="-2"/>
          <w:lang w:val="af-ZA"/>
        </w:rPr>
      </w:pPr>
      <w:r w:rsidRPr="001E5C3F">
        <w:rPr>
          <w:lang w:val="af-ZA"/>
        </w:rPr>
        <w:t>Dự thảo Nghị định được kết cấu</w:t>
      </w:r>
      <w:r w:rsidRPr="001E5C3F">
        <w:rPr>
          <w:spacing w:val="-2"/>
          <w:lang w:val="af-ZA"/>
        </w:rPr>
        <w:t xml:space="preserve"> gồm 03 Điều.</w:t>
      </w:r>
    </w:p>
    <w:p w:rsidR="001E710D" w:rsidRPr="001E5C3F" w:rsidRDefault="001E710D" w:rsidP="00A3131C">
      <w:pPr>
        <w:spacing w:before="100" w:after="100"/>
        <w:ind w:right="57" w:firstLine="567"/>
        <w:jc w:val="both"/>
        <w:rPr>
          <w:b/>
          <w:lang w:val="af-ZA"/>
        </w:rPr>
      </w:pPr>
      <w:r w:rsidRPr="001E5C3F">
        <w:rPr>
          <w:b/>
          <w:lang w:val="af-ZA"/>
        </w:rPr>
        <w:lastRenderedPageBreak/>
        <w:t>2. Về nội dung Dự thảo Nghị định</w:t>
      </w:r>
    </w:p>
    <w:p w:rsidR="00831038" w:rsidRDefault="001E710D" w:rsidP="00A3131C">
      <w:pPr>
        <w:pStyle w:val="NormalWeb"/>
        <w:spacing w:before="100" w:after="100"/>
        <w:ind w:firstLine="567"/>
        <w:jc w:val="both"/>
        <w:rPr>
          <w:rFonts w:ascii="Times New Roman" w:hAnsi="Times New Roman" w:cs="Times New Roman"/>
          <w:sz w:val="28"/>
          <w:szCs w:val="28"/>
        </w:rPr>
      </w:pPr>
      <w:r w:rsidRPr="00831038">
        <w:rPr>
          <w:rFonts w:ascii="Times New Roman" w:hAnsi="Times New Roman" w:cs="Times New Roman"/>
          <w:bCs/>
          <w:color w:val="auto"/>
          <w:spacing w:val="-4"/>
          <w:sz w:val="28"/>
          <w:szCs w:val="28"/>
        </w:rPr>
        <w:t xml:space="preserve">- Điều 1: </w:t>
      </w:r>
      <w:r w:rsidR="00831038" w:rsidRPr="00831038">
        <w:rPr>
          <w:rFonts w:ascii="Times New Roman" w:hAnsi="Times New Roman" w:cs="Times New Roman"/>
          <w:sz w:val="28"/>
          <w:szCs w:val="28"/>
          <w:bdr w:val="none" w:sz="0" w:space="0" w:color="auto" w:frame="1"/>
        </w:rPr>
        <w:t>Sửa đổi Điều 12</w:t>
      </w:r>
      <w:r w:rsidR="00831038" w:rsidRPr="00831038">
        <w:rPr>
          <w:rFonts w:ascii="Times New Roman" w:hAnsi="Times New Roman" w:cs="Times New Roman"/>
          <w:sz w:val="28"/>
          <w:szCs w:val="28"/>
        </w:rPr>
        <w:t xml:space="preserve"> Nghị định số 21/2016/NĐ-CP ngày 31 tháng 3 năm 2016 của Chính phủ quy định việc thực hiện chức năng thanh tra chuyên ngành về đóng bảo hiểm xã hội, bảo hiểm thất nghiệp và bảo hiểm y tế của cơ quan Bảo hiểm xã hội </w:t>
      </w:r>
    </w:p>
    <w:p w:rsidR="001E710D" w:rsidRPr="00831038" w:rsidRDefault="001E710D" w:rsidP="00A3131C">
      <w:pPr>
        <w:pStyle w:val="NormalWeb"/>
        <w:spacing w:before="100" w:after="100"/>
        <w:ind w:firstLine="567"/>
        <w:jc w:val="both"/>
        <w:rPr>
          <w:rFonts w:ascii="Times New Roman" w:hAnsi="Times New Roman" w:cs="Times New Roman"/>
          <w:bCs/>
          <w:color w:val="auto"/>
          <w:spacing w:val="-4"/>
          <w:sz w:val="28"/>
          <w:szCs w:val="28"/>
        </w:rPr>
      </w:pPr>
      <w:r w:rsidRPr="00831038">
        <w:rPr>
          <w:rFonts w:ascii="Times New Roman" w:hAnsi="Times New Roman" w:cs="Times New Roman"/>
          <w:bCs/>
          <w:color w:val="auto"/>
          <w:spacing w:val="-4"/>
          <w:sz w:val="28"/>
          <w:szCs w:val="28"/>
        </w:rPr>
        <w:t>- Điều 2: Điều khoản thi hành</w:t>
      </w:r>
    </w:p>
    <w:p w:rsidR="001E710D" w:rsidRPr="001E5C3F" w:rsidRDefault="001E710D" w:rsidP="00A3131C">
      <w:pPr>
        <w:pStyle w:val="NormalWeb"/>
        <w:spacing w:before="100" w:after="100"/>
        <w:ind w:firstLine="567"/>
        <w:jc w:val="both"/>
        <w:rPr>
          <w:rFonts w:ascii="Times New Roman" w:hAnsi="Times New Roman" w:cs="Times New Roman"/>
          <w:bCs/>
          <w:color w:val="auto"/>
          <w:spacing w:val="-4"/>
          <w:sz w:val="28"/>
          <w:szCs w:val="28"/>
        </w:rPr>
      </w:pPr>
      <w:r w:rsidRPr="001E5C3F">
        <w:rPr>
          <w:rFonts w:ascii="Times New Roman" w:hAnsi="Times New Roman" w:cs="Times New Roman"/>
          <w:bCs/>
          <w:color w:val="auto"/>
          <w:spacing w:val="-4"/>
          <w:sz w:val="28"/>
          <w:szCs w:val="28"/>
        </w:rPr>
        <w:t>- Điều 3: Tổ chức thực hiện</w:t>
      </w:r>
    </w:p>
    <w:p w:rsidR="001E710D" w:rsidRPr="001E5C3F" w:rsidRDefault="001E710D" w:rsidP="00A3131C">
      <w:pPr>
        <w:spacing w:before="100" w:after="100"/>
        <w:jc w:val="both"/>
        <w:textAlignment w:val="baseline"/>
        <w:rPr>
          <w:b/>
          <w:bdr w:val="none" w:sz="0" w:space="0" w:color="auto" w:frame="1"/>
        </w:rPr>
      </w:pPr>
      <w:r w:rsidRPr="001E5C3F">
        <w:rPr>
          <w:b/>
          <w:bdr w:val="none" w:sz="0" w:space="0" w:color="auto" w:frame="1"/>
        </w:rPr>
        <w:tab/>
        <w:t>V. NỘI DUNG SỬA ĐỔI</w:t>
      </w:r>
    </w:p>
    <w:p w:rsidR="001E710D" w:rsidRPr="001E5C3F" w:rsidRDefault="001E710D" w:rsidP="00A3131C">
      <w:pPr>
        <w:spacing w:before="100" w:after="100"/>
        <w:ind w:firstLine="567"/>
        <w:jc w:val="both"/>
        <w:textAlignment w:val="baseline"/>
        <w:rPr>
          <w:bdr w:val="none" w:sz="0" w:space="0" w:color="auto" w:frame="1"/>
        </w:rPr>
      </w:pPr>
      <w:r w:rsidRPr="001E5C3F">
        <w:rPr>
          <w:bdr w:val="none" w:sz="0" w:space="0" w:color="auto" w:frame="1"/>
        </w:rPr>
        <w:t>Sửa đổi Điều 12</w:t>
      </w:r>
      <w:r w:rsidRPr="001E5C3F">
        <w:t xml:space="preserve"> Nghị định số 21/2016/NĐ-CP ngày 31 tháng 3 năm 2016 của Chính phủ quy định việc thực hiện chức năng thanh tra chuyên ngành về đóng bảo hiểm xã hội, bảo hiểm thất nghiệp và bảo hiểm y tế của cơ quan Bảo hiểm xã hội theo hướng bãi bỏ khoản 2.</w:t>
      </w:r>
    </w:p>
    <w:p w:rsidR="00FF50D2" w:rsidRPr="001E5C3F" w:rsidRDefault="00FF50D2" w:rsidP="00A3131C">
      <w:pPr>
        <w:spacing w:before="100" w:after="100"/>
        <w:jc w:val="both"/>
        <w:textAlignment w:val="baseline"/>
        <w:rPr>
          <w:b/>
          <w:bdr w:val="none" w:sz="0" w:space="0" w:color="auto" w:frame="1"/>
        </w:rPr>
      </w:pPr>
      <w:r w:rsidRPr="001E5C3F">
        <w:rPr>
          <w:b/>
          <w:bdr w:val="none" w:sz="0" w:space="0" w:color="auto" w:frame="1"/>
        </w:rPr>
        <w:tab/>
        <w:t>VI. TIẾP THU, GIẢI TRÌNH Ý KIẾN CÁC BỘ, NGÀNH, ĐỊA PHƯƠNG VÀ Ý KIẾN CỦA BỘ TƯ PHÁP</w:t>
      </w:r>
    </w:p>
    <w:p w:rsidR="00FF50D2" w:rsidRPr="001E5C3F" w:rsidRDefault="00FF50D2" w:rsidP="00A3131C">
      <w:pPr>
        <w:spacing w:before="100" w:after="100"/>
        <w:ind w:firstLine="567"/>
        <w:jc w:val="both"/>
        <w:rPr>
          <w:lang w:val="af-ZA"/>
        </w:rPr>
      </w:pPr>
      <w:r w:rsidRPr="001E5C3F">
        <w:rPr>
          <w:lang w:val="af-ZA"/>
        </w:rPr>
        <w:t>1. Ý kiến của các Bộ, Ngành</w:t>
      </w:r>
    </w:p>
    <w:p w:rsidR="00FF50D2" w:rsidRPr="001E5C3F" w:rsidRDefault="00FF50D2" w:rsidP="00A3131C">
      <w:pPr>
        <w:spacing w:before="100" w:after="100"/>
        <w:ind w:firstLine="567"/>
        <w:jc w:val="both"/>
        <w:rPr>
          <w:lang w:val="af-ZA"/>
        </w:rPr>
      </w:pPr>
      <w:r w:rsidRPr="001E5C3F">
        <w:t xml:space="preserve">Bộ Lao động- Thương binh và Xã hội đã nhận được 63 ý kiến góp ý của 25 Bộ, Ngành, trong đó tất cả đều đồng ý với với nội dung dự thảo (07 Bộ, ngành có ý kiến góp ý về thể thức văn bản); </w:t>
      </w:r>
      <w:r w:rsidR="00831038">
        <w:t>06 ý kiến củ</w:t>
      </w:r>
      <w:r w:rsidR="00A3131C">
        <w:t>a các đơn vị thuộc Bộ Lao động -</w:t>
      </w:r>
      <w:r w:rsidR="00831038">
        <w:t xml:space="preserve"> Thương binh và Xã hội và</w:t>
      </w:r>
      <w:r w:rsidRPr="001E5C3F">
        <w:t xml:space="preserve"> 3</w:t>
      </w:r>
      <w:r w:rsidR="00FF1BC0">
        <w:t>3</w:t>
      </w:r>
      <w:r w:rsidRPr="001E5C3F">
        <w:t xml:space="preserve"> ý kiến góp ý của 3</w:t>
      </w:r>
      <w:r w:rsidR="00FF1BC0">
        <w:t>3</w:t>
      </w:r>
      <w:r w:rsidRPr="001E5C3F">
        <w:t xml:space="preserve"> Sở Lao động- Thương binh và Xã hội tỉnh, thành phố, đều hoàn toàn đồng ý với nội dung dự thảo. Tổ soạn thảo đã nghiên cứu, tiếp thu, chỉnh lý và hoàn thiện dự thảo </w:t>
      </w:r>
      <w:r w:rsidRPr="001E5C3F">
        <w:rPr>
          <w:lang w:val="af-ZA"/>
        </w:rPr>
        <w:t>(báo cáo tiếp thu, giải trình ý kiến góp ý của các Bộ, ngành kèm theo).</w:t>
      </w:r>
    </w:p>
    <w:p w:rsidR="00FF50D2" w:rsidRPr="001E5C3F" w:rsidRDefault="00FF50D2" w:rsidP="00A3131C">
      <w:pPr>
        <w:spacing w:before="100" w:after="100"/>
        <w:ind w:firstLine="567"/>
        <w:jc w:val="both"/>
        <w:rPr>
          <w:lang w:val="af-ZA"/>
        </w:rPr>
      </w:pPr>
      <w:r w:rsidRPr="001E5C3F">
        <w:rPr>
          <w:lang w:val="af-ZA"/>
        </w:rPr>
        <w:t>2.Ý kiến của Bộ Tư pháp</w:t>
      </w:r>
    </w:p>
    <w:p w:rsidR="00FF50D2" w:rsidRDefault="001E5C3F" w:rsidP="00A3131C">
      <w:pPr>
        <w:spacing w:before="100" w:after="100"/>
        <w:ind w:firstLine="567"/>
        <w:jc w:val="both"/>
        <w:rPr>
          <w:lang w:val="af-ZA"/>
        </w:rPr>
      </w:pPr>
      <w:r>
        <w:rPr>
          <w:lang w:val="af-ZA"/>
        </w:rPr>
        <w:t xml:space="preserve">Bộ Tư pháp đồng tình về sự cần thiết sửa đổi Nghị định này, đề nghị cơ quan soạn thảo rà soát </w:t>
      </w:r>
      <w:r w:rsidR="00831038">
        <w:rPr>
          <w:lang w:val="af-ZA"/>
        </w:rPr>
        <w:t xml:space="preserve">thêm về </w:t>
      </w:r>
      <w:r>
        <w:rPr>
          <w:lang w:val="af-ZA"/>
        </w:rPr>
        <w:t>kỹ thuật để đảm bảo phù hợp với Luật ban hành văn bản quy phạm pháp luật và các văn bản hướng dẫn thi hành.</w:t>
      </w:r>
    </w:p>
    <w:p w:rsidR="001E710D" w:rsidRDefault="001E710D" w:rsidP="00A3131C">
      <w:pPr>
        <w:spacing w:before="100" w:after="240"/>
        <w:ind w:firstLine="567"/>
        <w:jc w:val="both"/>
        <w:rPr>
          <w:lang w:val="af-ZA"/>
        </w:rPr>
      </w:pPr>
      <w:r w:rsidRPr="004737BC">
        <w:rPr>
          <w:lang w:val="af-ZA"/>
        </w:rPr>
        <w:t>Trên đây là nội dung cơ b</w:t>
      </w:r>
      <w:r>
        <w:rPr>
          <w:lang w:val="af-ZA"/>
        </w:rPr>
        <w:t>ả</w:t>
      </w:r>
      <w:r w:rsidRPr="004737BC">
        <w:rPr>
          <w:lang w:val="af-ZA"/>
        </w:rPr>
        <w:t xml:space="preserve">n của Dự thảo </w:t>
      </w:r>
      <w:r>
        <w:t xml:space="preserve">Nghị định sửa đổi Điều 12 </w:t>
      </w:r>
      <w:r w:rsidRPr="00F667CC">
        <w:t>Nghị định số 21/2016/NĐ-CP ngày 31 tháng 3 năm 2016</w:t>
      </w:r>
      <w:r>
        <w:t xml:space="preserve"> của Chính phủ </w:t>
      </w:r>
      <w:r w:rsidRPr="00F667CC">
        <w:t xml:space="preserve"> quy định việc thực hiện chức năng thanh tra chuyên ngành về đóng bảo hiểm xã hội, bảo hiểm thất nghiệp và bảo hiểm y tế của cơ quan Bảo hiểm xã hội</w:t>
      </w:r>
      <w:r w:rsidRPr="004737BC">
        <w:rPr>
          <w:lang w:val="af-ZA"/>
        </w:rPr>
        <w:t>, Bộ Lao động - Thương binh và Xã hội kính trình Chính phủ xem xét, quyết định./.</w:t>
      </w:r>
    </w:p>
    <w:tbl>
      <w:tblPr>
        <w:tblW w:w="9639" w:type="dxa"/>
        <w:tblInd w:w="108" w:type="dxa"/>
        <w:tblLook w:val="01E0"/>
      </w:tblPr>
      <w:tblGrid>
        <w:gridCol w:w="4820"/>
        <w:gridCol w:w="4819"/>
      </w:tblGrid>
      <w:tr w:rsidR="001E710D" w:rsidRPr="00B5154A" w:rsidTr="00E04735">
        <w:tc>
          <w:tcPr>
            <w:tcW w:w="4820" w:type="dxa"/>
          </w:tcPr>
          <w:p w:rsidR="001E710D" w:rsidRPr="00B5154A" w:rsidRDefault="001E710D" w:rsidP="00A3131C">
            <w:pPr>
              <w:tabs>
                <w:tab w:val="center" w:pos="6919"/>
              </w:tabs>
              <w:rPr>
                <w:b/>
                <w:bCs/>
                <w:i/>
                <w:sz w:val="24"/>
                <w:lang w:val="pt-BR"/>
              </w:rPr>
            </w:pPr>
            <w:r w:rsidRPr="00B5154A">
              <w:rPr>
                <w:b/>
                <w:bCs/>
                <w:i/>
                <w:sz w:val="24"/>
                <w:lang w:val="pt-BR"/>
              </w:rPr>
              <w:t>Nơi nhận:</w:t>
            </w:r>
          </w:p>
          <w:p w:rsidR="001E710D" w:rsidRDefault="001E710D" w:rsidP="00A3131C">
            <w:pPr>
              <w:tabs>
                <w:tab w:val="center" w:pos="6919"/>
              </w:tabs>
              <w:rPr>
                <w:sz w:val="22"/>
                <w:lang w:val="pt-BR"/>
              </w:rPr>
            </w:pPr>
            <w:r w:rsidRPr="00B5154A">
              <w:rPr>
                <w:sz w:val="22"/>
                <w:lang w:val="pt-BR"/>
              </w:rPr>
              <w:t>- Như trên;</w:t>
            </w:r>
          </w:p>
          <w:p w:rsidR="00A3131C" w:rsidRPr="00B5154A" w:rsidRDefault="00A3131C" w:rsidP="00A3131C">
            <w:pPr>
              <w:tabs>
                <w:tab w:val="center" w:pos="6919"/>
              </w:tabs>
              <w:rPr>
                <w:sz w:val="22"/>
                <w:lang w:val="pt-BR"/>
              </w:rPr>
            </w:pPr>
            <w:r>
              <w:rPr>
                <w:sz w:val="22"/>
                <w:lang w:val="pt-BR"/>
              </w:rPr>
              <w:t>- Bộ trưởng (để báo cáo)</w:t>
            </w:r>
          </w:p>
          <w:p w:rsidR="001E710D" w:rsidRPr="00B5154A" w:rsidRDefault="001E710D" w:rsidP="00A3131C">
            <w:pPr>
              <w:jc w:val="both"/>
              <w:rPr>
                <w:sz w:val="22"/>
              </w:rPr>
            </w:pPr>
            <w:r w:rsidRPr="00B5154A">
              <w:rPr>
                <w:sz w:val="22"/>
              </w:rPr>
              <w:t>- Văn phòng Chính phủ;</w:t>
            </w:r>
          </w:p>
          <w:p w:rsidR="001E710D" w:rsidRPr="00B5154A" w:rsidRDefault="001E710D" w:rsidP="00A3131C">
            <w:pPr>
              <w:tabs>
                <w:tab w:val="center" w:pos="6919"/>
              </w:tabs>
              <w:rPr>
                <w:b/>
                <w:bCs/>
                <w:lang w:val="pt-BR"/>
              </w:rPr>
            </w:pPr>
            <w:r w:rsidRPr="00B5154A">
              <w:rPr>
                <w:sz w:val="22"/>
              </w:rPr>
              <w:t>- Lưu: VT, TTr.</w:t>
            </w:r>
          </w:p>
        </w:tc>
        <w:tc>
          <w:tcPr>
            <w:tcW w:w="4819" w:type="dxa"/>
          </w:tcPr>
          <w:p w:rsidR="001E710D" w:rsidRDefault="00A3131C" w:rsidP="00E04735">
            <w:pPr>
              <w:jc w:val="center"/>
              <w:rPr>
                <w:b/>
                <w:lang w:val="pt-BR"/>
              </w:rPr>
            </w:pPr>
            <w:r>
              <w:rPr>
                <w:b/>
                <w:lang w:val="pt-BR"/>
              </w:rPr>
              <w:t xml:space="preserve">KT. </w:t>
            </w:r>
            <w:r w:rsidR="001E710D" w:rsidRPr="00B5154A">
              <w:rPr>
                <w:b/>
                <w:lang w:val="pt-BR"/>
              </w:rPr>
              <w:t>BỘ TRƯỞNG</w:t>
            </w:r>
          </w:p>
          <w:p w:rsidR="00A3131C" w:rsidRDefault="00A3131C" w:rsidP="00E04735">
            <w:pPr>
              <w:jc w:val="center"/>
              <w:rPr>
                <w:b/>
                <w:lang w:val="pt-BR"/>
              </w:rPr>
            </w:pPr>
            <w:r>
              <w:rPr>
                <w:b/>
                <w:lang w:val="pt-BR"/>
              </w:rPr>
              <w:t>THỨ TRƯỞNG</w:t>
            </w:r>
          </w:p>
          <w:p w:rsidR="001E710D" w:rsidRPr="00B5154A" w:rsidRDefault="001E710D" w:rsidP="00E04735">
            <w:pPr>
              <w:jc w:val="center"/>
              <w:rPr>
                <w:b/>
                <w:lang w:val="pt-BR"/>
              </w:rPr>
            </w:pPr>
          </w:p>
          <w:p w:rsidR="001E710D" w:rsidRDefault="001E710D" w:rsidP="00E04735">
            <w:pPr>
              <w:jc w:val="center"/>
              <w:rPr>
                <w:b/>
                <w:lang w:val="pt-BR"/>
              </w:rPr>
            </w:pPr>
          </w:p>
          <w:p w:rsidR="001E710D" w:rsidRPr="00B5154A" w:rsidRDefault="001E710D" w:rsidP="00E04735">
            <w:pPr>
              <w:jc w:val="center"/>
              <w:rPr>
                <w:b/>
                <w:lang w:val="pt-BR"/>
              </w:rPr>
            </w:pPr>
          </w:p>
          <w:p w:rsidR="001E710D" w:rsidRPr="00B5154A" w:rsidRDefault="001E710D" w:rsidP="00E04735">
            <w:pPr>
              <w:jc w:val="center"/>
              <w:rPr>
                <w:b/>
                <w:sz w:val="36"/>
                <w:lang w:val="pt-BR"/>
              </w:rPr>
            </w:pPr>
          </w:p>
          <w:p w:rsidR="001E710D" w:rsidRPr="00B5154A" w:rsidRDefault="001E710D" w:rsidP="00E04735">
            <w:pPr>
              <w:jc w:val="center"/>
              <w:rPr>
                <w:b/>
                <w:lang w:val="pt-BR"/>
              </w:rPr>
            </w:pPr>
          </w:p>
          <w:p w:rsidR="001E710D" w:rsidRPr="00B5154A" w:rsidRDefault="00A3131C" w:rsidP="00E04735">
            <w:pPr>
              <w:jc w:val="center"/>
              <w:rPr>
                <w:b/>
                <w:lang w:val="pt-BR"/>
              </w:rPr>
            </w:pPr>
            <w:r>
              <w:rPr>
                <w:b/>
                <w:lang w:val="pt-BR"/>
              </w:rPr>
              <w:t>Đào Hồng Lan</w:t>
            </w:r>
          </w:p>
        </w:tc>
      </w:tr>
    </w:tbl>
    <w:p w:rsidR="001E710D" w:rsidRPr="004737BC" w:rsidRDefault="001E710D" w:rsidP="001E710D">
      <w:pPr>
        <w:spacing w:before="120" w:line="340" w:lineRule="atLeast"/>
        <w:jc w:val="both"/>
        <w:rPr>
          <w:lang w:val="pt-BR"/>
        </w:rPr>
      </w:pPr>
    </w:p>
    <w:p w:rsidR="004B2661" w:rsidRDefault="004B2661"/>
    <w:sectPr w:rsidR="004B2661" w:rsidSect="00A3131C">
      <w:headerReference w:type="even" r:id="rId7"/>
      <w:footerReference w:type="even" r:id="rId8"/>
      <w:footerReference w:type="default" r:id="rId9"/>
      <w:pgSz w:w="11907" w:h="16840" w:code="9"/>
      <w:pgMar w:top="1134" w:right="1077" w:bottom="1077" w:left="1701"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E25" w:rsidRDefault="00C00E25" w:rsidP="000E788D">
      <w:r>
        <w:separator/>
      </w:r>
    </w:p>
  </w:endnote>
  <w:endnote w:type="continuationSeparator" w:id="1">
    <w:p w:rsidR="00C00E25" w:rsidRDefault="00C00E25" w:rsidP="000E78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9D" w:rsidRDefault="001A5D0E" w:rsidP="00CA632A">
    <w:pPr>
      <w:pStyle w:val="Footer"/>
      <w:framePr w:wrap="around" w:vAnchor="text" w:hAnchor="margin" w:xAlign="right" w:y="1"/>
      <w:rPr>
        <w:rStyle w:val="PageNumber"/>
      </w:rPr>
    </w:pPr>
    <w:r>
      <w:rPr>
        <w:rStyle w:val="PageNumber"/>
      </w:rPr>
      <w:fldChar w:fldCharType="begin"/>
    </w:r>
    <w:r w:rsidR="00DF0CA0">
      <w:rPr>
        <w:rStyle w:val="PageNumber"/>
      </w:rPr>
      <w:instrText xml:space="preserve">PAGE  </w:instrText>
    </w:r>
    <w:r>
      <w:rPr>
        <w:rStyle w:val="PageNumber"/>
      </w:rPr>
      <w:fldChar w:fldCharType="end"/>
    </w:r>
  </w:p>
  <w:p w:rsidR="00334C9D" w:rsidRDefault="00C00E25" w:rsidP="00CA63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9D" w:rsidRDefault="001A5D0E" w:rsidP="00CA632A">
    <w:pPr>
      <w:pStyle w:val="Footer"/>
      <w:framePr w:wrap="around" w:vAnchor="text" w:hAnchor="page" w:x="11062" w:y="200"/>
      <w:rPr>
        <w:rStyle w:val="PageNumber"/>
      </w:rPr>
    </w:pPr>
    <w:r>
      <w:rPr>
        <w:rStyle w:val="PageNumber"/>
      </w:rPr>
      <w:fldChar w:fldCharType="begin"/>
    </w:r>
    <w:r w:rsidR="00DF0CA0">
      <w:rPr>
        <w:rStyle w:val="PageNumber"/>
      </w:rPr>
      <w:instrText xml:space="preserve">PAGE  </w:instrText>
    </w:r>
    <w:r>
      <w:rPr>
        <w:rStyle w:val="PageNumber"/>
      </w:rPr>
      <w:fldChar w:fldCharType="separate"/>
    </w:r>
    <w:r w:rsidR="00402B08">
      <w:rPr>
        <w:rStyle w:val="PageNumber"/>
        <w:noProof/>
      </w:rPr>
      <w:t>5</w:t>
    </w:r>
    <w:r>
      <w:rPr>
        <w:rStyle w:val="PageNumber"/>
      </w:rPr>
      <w:fldChar w:fldCharType="end"/>
    </w:r>
  </w:p>
  <w:p w:rsidR="00334C9D" w:rsidRDefault="00C00E25" w:rsidP="00CA63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E25" w:rsidRDefault="00C00E25" w:rsidP="000E788D">
      <w:r>
        <w:separator/>
      </w:r>
    </w:p>
  </w:footnote>
  <w:footnote w:type="continuationSeparator" w:id="1">
    <w:p w:rsidR="00C00E25" w:rsidRDefault="00C00E25" w:rsidP="000E7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9D" w:rsidRDefault="001A5D0E" w:rsidP="00CA632A">
    <w:pPr>
      <w:pStyle w:val="Header"/>
      <w:framePr w:wrap="around" w:vAnchor="text" w:hAnchor="margin" w:xAlign="center" w:y="1"/>
      <w:rPr>
        <w:rStyle w:val="PageNumber"/>
      </w:rPr>
    </w:pPr>
    <w:r>
      <w:rPr>
        <w:rStyle w:val="PageNumber"/>
      </w:rPr>
      <w:fldChar w:fldCharType="begin"/>
    </w:r>
    <w:r w:rsidR="00DF0CA0">
      <w:rPr>
        <w:rStyle w:val="PageNumber"/>
      </w:rPr>
      <w:instrText xml:space="preserve">PAGE  </w:instrText>
    </w:r>
    <w:r>
      <w:rPr>
        <w:rStyle w:val="PageNumber"/>
      </w:rPr>
      <w:fldChar w:fldCharType="end"/>
    </w:r>
  </w:p>
  <w:p w:rsidR="00334C9D" w:rsidRDefault="00C00E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E710D"/>
    <w:rsid w:val="000E788D"/>
    <w:rsid w:val="001424B6"/>
    <w:rsid w:val="0019293A"/>
    <w:rsid w:val="001A240D"/>
    <w:rsid w:val="001A5D0E"/>
    <w:rsid w:val="001E5C3F"/>
    <w:rsid w:val="001E710D"/>
    <w:rsid w:val="00266753"/>
    <w:rsid w:val="002A345C"/>
    <w:rsid w:val="00402B08"/>
    <w:rsid w:val="004B2661"/>
    <w:rsid w:val="007F7652"/>
    <w:rsid w:val="00831038"/>
    <w:rsid w:val="00912189"/>
    <w:rsid w:val="00A3131C"/>
    <w:rsid w:val="00AB0319"/>
    <w:rsid w:val="00C00E25"/>
    <w:rsid w:val="00D83BD5"/>
    <w:rsid w:val="00DE5BDE"/>
    <w:rsid w:val="00DF0CA0"/>
    <w:rsid w:val="00FF1BC0"/>
    <w:rsid w:val="00FF5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0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710D"/>
    <w:pPr>
      <w:tabs>
        <w:tab w:val="center" w:pos="4320"/>
        <w:tab w:val="right" w:pos="8640"/>
      </w:tabs>
    </w:pPr>
  </w:style>
  <w:style w:type="character" w:customStyle="1" w:styleId="FooterChar">
    <w:name w:val="Footer Char"/>
    <w:basedOn w:val="DefaultParagraphFont"/>
    <w:link w:val="Footer"/>
    <w:uiPriority w:val="99"/>
    <w:rsid w:val="001E710D"/>
    <w:rPr>
      <w:rFonts w:ascii="Times New Roman" w:eastAsia="Times New Roman" w:hAnsi="Times New Roman" w:cs="Times New Roman"/>
      <w:sz w:val="28"/>
      <w:szCs w:val="28"/>
    </w:rPr>
  </w:style>
  <w:style w:type="character" w:styleId="PageNumber">
    <w:name w:val="page number"/>
    <w:basedOn w:val="DefaultParagraphFont"/>
    <w:uiPriority w:val="99"/>
    <w:rsid w:val="001E710D"/>
    <w:rPr>
      <w:rFonts w:cs="Times New Roman"/>
    </w:rPr>
  </w:style>
  <w:style w:type="paragraph" w:styleId="Header">
    <w:name w:val="header"/>
    <w:basedOn w:val="Normal"/>
    <w:link w:val="HeaderChar"/>
    <w:uiPriority w:val="99"/>
    <w:rsid w:val="001E710D"/>
    <w:pPr>
      <w:tabs>
        <w:tab w:val="center" w:pos="4320"/>
        <w:tab w:val="right" w:pos="8640"/>
      </w:tabs>
    </w:pPr>
  </w:style>
  <w:style w:type="character" w:customStyle="1" w:styleId="HeaderChar">
    <w:name w:val="Header Char"/>
    <w:basedOn w:val="DefaultParagraphFont"/>
    <w:link w:val="Header"/>
    <w:uiPriority w:val="99"/>
    <w:rsid w:val="001E710D"/>
    <w:rPr>
      <w:rFonts w:ascii="Times New Roman" w:eastAsia="Times New Roman" w:hAnsi="Times New Roman" w:cs="Times New Roman"/>
      <w:sz w:val="28"/>
      <w:szCs w:val="28"/>
    </w:rPr>
  </w:style>
  <w:style w:type="paragraph" w:styleId="NormalWeb">
    <w:name w:val="Normal (Web)"/>
    <w:basedOn w:val="Normal"/>
    <w:uiPriority w:val="99"/>
    <w:rsid w:val="001E710D"/>
    <w:rPr>
      <w:rFonts w:ascii="Tahoma" w:hAnsi="Tahoma" w:cs="Tahoma"/>
      <w:color w:val="000000"/>
      <w:sz w:val="24"/>
      <w:szCs w:val="24"/>
    </w:rPr>
  </w:style>
  <w:style w:type="table" w:styleId="TableGrid">
    <w:name w:val="Table Grid"/>
    <w:basedOn w:val="TableNormal"/>
    <w:uiPriority w:val="59"/>
    <w:rsid w:val="00402B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480/BC-CP&amp;area=2&amp;type=0&amp;match=False&amp;vc=True&amp;lan=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1C181A-C1D9-49F6-BBC2-373E2317A3F3}"/>
</file>

<file path=customXml/itemProps2.xml><?xml version="1.0" encoding="utf-8"?>
<ds:datastoreItem xmlns:ds="http://schemas.openxmlformats.org/officeDocument/2006/customXml" ds:itemID="{55341B5E-B600-4C1A-AFC7-0A3B1A270A4A}"/>
</file>

<file path=customXml/itemProps3.xml><?xml version="1.0" encoding="utf-8"?>
<ds:datastoreItem xmlns:ds="http://schemas.openxmlformats.org/officeDocument/2006/customXml" ds:itemID="{B5DA0861-9A8C-40E4-8E92-F5035FD014EF}"/>
</file>

<file path=docProps/app.xml><?xml version="1.0" encoding="utf-8"?>
<Properties xmlns="http://schemas.openxmlformats.org/officeDocument/2006/extended-properties" xmlns:vt="http://schemas.openxmlformats.org/officeDocument/2006/docPropsVTypes">
  <Template>Normal</Template>
  <TotalTime>60</TotalTime>
  <Pages>6</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2017-07-27T02:33:00Z</cp:lastPrinted>
  <dcterms:created xsi:type="dcterms:W3CDTF">2017-06-29T07:11:00Z</dcterms:created>
  <dcterms:modified xsi:type="dcterms:W3CDTF">2017-08-01T02:00:00Z</dcterms:modified>
</cp:coreProperties>
</file>